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pacing w:before="0" w:after="280"/>
        <w:jc w:val="center"/>
        <w:rPr>
          <w:rFonts w:ascii="Arial" w:hAnsi="Arial" w:cs="Arial"/>
          <w:b/>
          <w:b/>
          <w:color w:val="000000"/>
          <w:sz w:val="20"/>
          <w:szCs w:val="20"/>
          <w:lang w:val="en-US"/>
        </w:rPr>
      </w:pPr>
      <w:r>
        <w:rPr>
          <w:rStyle w:val="Strong"/>
          <w:rFonts w:cs="Arial" w:ascii="Arial" w:hAnsi="Arial"/>
          <w:color w:val="000000"/>
          <w:sz w:val="20"/>
          <w:szCs w:val="20"/>
        </w:rPr>
        <w:t>Договор подряда №</w:t>
      </w:r>
      <w:r>
        <w:rPr>
          <w:rStyle w:val="Strong"/>
          <w:rFonts w:cs="Arial" w:ascii="Arial" w:hAnsi="Arial"/>
          <w:b w:val="false"/>
          <w:color w:val="000000"/>
          <w:sz w:val="20"/>
          <w:szCs w:val="20"/>
        </w:rPr>
        <w:t xml:space="preserve"> </w:t>
      </w:r>
      <w:r>
        <w:rPr>
          <w:rFonts w:cs="Arial" w:ascii="Arial" w:hAnsi="Arial"/>
          <w:b/>
          <w:sz w:val="20"/>
          <w:szCs w:val="20"/>
          <w:lang w:val="en-US"/>
        </w:rPr>
        <w:t>_______</w:t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680"/>
        <w:gridCol w:w="4674"/>
      </w:tblGrid>
      <w:tr>
        <w:trPr/>
        <w:tc>
          <w:tcPr>
            <w:tcW w:w="4680" w:type="dxa"/>
            <w:tcBorders/>
            <w:shd w:color="auto" w:fill="auto" w:val="clear"/>
          </w:tcPr>
          <w:p>
            <w:pPr>
              <w:pStyle w:val="NoSpacing"/>
              <w:widowControl w:val="false"/>
              <w:rPr>
                <w:rFonts w:cs="Arial"/>
                <w:b/>
                <w:b/>
                <w:color w:val="000000"/>
              </w:rPr>
            </w:pPr>
            <w:r>
              <w:rPr>
                <w:rFonts w:eastAsia="Times New Roman" w:cs="Arial"/>
                <w:szCs w:val="20"/>
                <w:lang w:eastAsia="ru-RU"/>
              </w:rPr>
              <w:t>г. Санкт-Петербург</w:t>
            </w:r>
          </w:p>
        </w:tc>
        <w:tc>
          <w:tcPr>
            <w:tcW w:w="4674" w:type="dxa"/>
            <w:tcBorders/>
            <w:shd w:color="auto" w:fill="auto" w:val="clear"/>
          </w:tcPr>
          <w:p>
            <w:pPr>
              <w:pStyle w:val="NormalWeb"/>
              <w:widowControl w:val="false"/>
              <w:spacing w:before="0" w:after="0"/>
              <w:jc w:val="right"/>
              <w:rPr>
                <w:rFonts w:ascii="Arial" w:hAnsi="Arial" w:cs="Arial"/>
                <w:b/>
                <w:b/>
                <w:color w:val="A23A99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«</w:t>
            </w:r>
            <w:r>
              <w:rPr>
                <w:rFonts w:cs="Arial" w:ascii="Arial" w:hAnsi="Arial"/>
                <w:sz w:val="20"/>
                <w:szCs w:val="20"/>
                <w:lang w:val="en-US"/>
              </w:rPr>
              <w:t>__</w:t>
            </w:r>
            <w:r>
              <w:rPr>
                <w:rFonts w:cs="Arial" w:ascii="Arial" w:hAnsi="Arial"/>
                <w:sz w:val="20"/>
                <w:szCs w:val="20"/>
              </w:rPr>
              <w:t>» апреля 2024 г.</w:t>
            </w:r>
          </w:p>
        </w:tc>
      </w:tr>
    </w:tbl>
    <w:p>
      <w:pPr>
        <w:pStyle w:val="NoSpacing"/>
        <w:spacing w:beforeAutospacing="1" w:afterAutospacing="1"/>
        <w:rPr/>
      </w:pPr>
      <w:r>
        <w:rPr>
          <w:rFonts w:eastAsia="Times New Roman" w:cs="Arial"/>
          <w:szCs w:val="20"/>
          <w:lang w:eastAsia="ru-RU"/>
        </w:rPr>
        <w:t>Общество с ограниченной ответственностью "КЛАСС ТЕЛЕКОМ"</w:t>
      </w:r>
      <w:r>
        <w:rPr>
          <w:rFonts w:cs="Arial"/>
          <w:szCs w:val="20"/>
        </w:rPr>
        <w:t>, именуемое в дальнейшем «</w:t>
      </w:r>
      <w:r>
        <w:rPr>
          <w:rFonts w:cs="Arial"/>
          <w:bCs/>
          <w:szCs w:val="20"/>
        </w:rPr>
        <w:t>Подрядчик</w:t>
      </w:r>
      <w:r>
        <w:rPr>
          <w:rFonts w:cs="Arial"/>
          <w:szCs w:val="20"/>
        </w:rPr>
        <w:t xml:space="preserve">», в лице </w:t>
      </w:r>
      <w:r>
        <w:rPr>
          <w:rFonts w:eastAsia="Times New Roman" w:cs="Arial"/>
          <w:szCs w:val="20"/>
          <w:lang w:eastAsia="ru-RU"/>
        </w:rPr>
        <w:t>Генерального директора</w:t>
      </w:r>
      <w:r>
        <w:rPr>
          <w:rFonts w:cs="Arial"/>
          <w:szCs w:val="20"/>
        </w:rPr>
        <w:t xml:space="preserve"> </w:t>
      </w:r>
      <w:r>
        <w:rPr>
          <w:rFonts w:eastAsia="Times New Roman" w:cs="Arial"/>
          <w:szCs w:val="20"/>
          <w:lang w:eastAsia="ru-RU"/>
        </w:rPr>
        <w:t>Кореша Олега Викторовича</w:t>
      </w:r>
      <w:r>
        <w:rPr>
          <w:rFonts w:cs="Arial"/>
          <w:szCs w:val="20"/>
        </w:rPr>
        <w:t xml:space="preserve">, действующего на основании Устава, с одной стороны, и </w:t>
      </w:r>
      <w:r>
        <w:rPr>
          <w:rFonts w:eastAsia="Times New Roman" w:cs="Arial"/>
          <w:szCs w:val="20"/>
          <w:lang w:eastAsia="ru-RU"/>
        </w:rPr>
        <w:t>__________</w:t>
      </w:r>
      <w:r>
        <w:rPr>
          <w:rFonts w:cs="Arial"/>
          <w:szCs w:val="20"/>
        </w:rPr>
        <w:t>,</w:t>
      </w:r>
      <w:r>
        <w:rPr>
          <w:rFonts w:eastAsia="Times New Roman" w:cs="Arial"/>
          <w:b/>
          <w:color w:val="D6600D"/>
          <w:szCs w:val="20"/>
          <w:lang w:eastAsia="ru-RU"/>
        </w:rPr>
        <w:t xml:space="preserve"> </w:t>
      </w:r>
      <w:r>
        <w:rPr>
          <w:rFonts w:cs="Arial"/>
          <w:szCs w:val="20"/>
        </w:rPr>
        <w:t>именуемое в дальнейшем «</w:t>
      </w:r>
      <w:r>
        <w:rPr>
          <w:rFonts w:cs="Arial"/>
          <w:bCs/>
          <w:szCs w:val="20"/>
        </w:rPr>
        <w:t>Заказчик</w:t>
      </w:r>
      <w:r>
        <w:rPr>
          <w:rFonts w:cs="Arial"/>
          <w:szCs w:val="20"/>
        </w:rPr>
        <w:t>», в лице Генерального директора ________, действующего на основании Устава, с другой стороны, заключили настоящий Договор о нижеследующем</w:t>
      </w:r>
      <w:r>
        <w:rPr/>
        <w:t>:</w:t>
      </w:r>
    </w:p>
    <w:p>
      <w:pPr>
        <w:pStyle w:val="NormalWeb"/>
        <w:spacing w:before="280" w:after="280"/>
        <w:jc w:val="center"/>
        <w:rPr>
          <w:rFonts w:ascii="Arial" w:hAnsi="Arial" w:cs="Arial"/>
          <w:b/>
          <w:b/>
          <w:color w:val="000000"/>
          <w:sz w:val="20"/>
          <w:szCs w:val="20"/>
        </w:rPr>
      </w:pPr>
      <w:r>
        <w:rPr>
          <w:rFonts w:cs="Arial" w:ascii="Arial" w:hAnsi="Arial"/>
          <w:b/>
          <w:color w:val="000000"/>
          <w:sz w:val="20"/>
          <w:szCs w:val="20"/>
        </w:rPr>
        <w:t>1. Предмет договора</w:t>
      </w:r>
    </w:p>
    <w:p>
      <w:pPr>
        <w:pStyle w:val="Normal"/>
        <w:spacing w:lineRule="auto" w:line="240" w:beforeAutospacing="1" w:afterAutospacing="1"/>
        <w:rPr>
          <w:rFonts w:ascii="Times" w:hAnsi="Times"/>
          <w:sz w:val="20"/>
          <w:szCs w:val="20"/>
          <w:lang w:eastAsia="ru-RU"/>
        </w:rPr>
      </w:pPr>
      <w:r>
        <w:rPr>
          <w:rFonts w:cs="Arial" w:ascii="Arial" w:hAnsi="Arial"/>
          <w:color w:val="000000"/>
          <w:sz w:val="20"/>
          <w:szCs w:val="20"/>
          <w:lang w:eastAsia="ru-RU"/>
        </w:rPr>
        <w:t>1.1. Подрядчик обязуется выполнить по заданию Заказчика работу, указанную в п.1.2 настоящего Договора и сдать ее результат Заказчику, а Заказчик обязуется принять результат работ и оплатить его.</w:t>
      </w:r>
    </w:p>
    <w:p>
      <w:pPr>
        <w:pStyle w:val="Normal"/>
        <w:spacing w:lineRule="auto" w:line="240" w:beforeAutospacing="1" w:afterAutospacing="1"/>
        <w:rPr>
          <w:rFonts w:ascii="Arial" w:hAnsi="Arial" w:cs="Arial"/>
          <w:color w:val="000000"/>
          <w:sz w:val="20"/>
          <w:szCs w:val="20"/>
          <w:lang w:eastAsia="ru-RU"/>
        </w:rPr>
      </w:pPr>
      <w:r>
        <w:rPr>
          <w:rFonts w:cs="Arial" w:ascii="Arial" w:hAnsi="Arial"/>
          <w:color w:val="000000"/>
          <w:sz w:val="20"/>
          <w:szCs w:val="20"/>
          <w:lang w:eastAsia="ru-RU"/>
        </w:rPr>
        <w:t xml:space="preserve">1.2. </w:t>
      </w:r>
      <w:r>
        <w:rPr>
          <w:rFonts w:cs="Arial" w:ascii="Arial" w:hAnsi="Arial"/>
          <w:color w:val="000000"/>
          <w:sz w:val="20"/>
          <w:szCs w:val="20"/>
        </w:rPr>
        <w:t>Подрядчик обязуется выполнить следующие работы (далее - работы) в соответствии с локальным сметным расчетом (Приложение</w:t>
      </w:r>
      <w:r>
        <w:rPr>
          <w:rFonts w:cs="Arial" w:ascii="Arial" w:hAnsi="Arial"/>
          <w:sz w:val="20"/>
          <w:szCs w:val="20"/>
        </w:rPr>
        <w:t> №</w:t>
      </w:r>
      <w:r>
        <w:rPr>
          <w:rFonts w:cs="Arial" w:ascii="Arial" w:hAnsi="Arial"/>
          <w:color w:val="000000"/>
          <w:sz w:val="20"/>
          <w:szCs w:val="20"/>
        </w:rPr>
        <w:t>1 к настоящему Договору) на Поставку и монтаж Системы контроля и управления доступом на объекте Заказчика.</w:t>
      </w:r>
    </w:p>
    <w:p>
      <w:pPr>
        <w:pStyle w:val="NoSpacing"/>
        <w:rPr/>
      </w:pPr>
      <w:r>
        <w:rPr/>
        <w:t xml:space="preserve">1.3. Срок выполнения работ: 10 рабочих дней с момента поступления оплаты. Подрядчик </w:t>
      </w:r>
      <w:r>
        <w:rPr>
          <w:shd w:fill="FFFFFF" w:val="clear"/>
        </w:rPr>
        <w:t>имеет право</w:t>
      </w:r>
      <w:r>
        <w:rPr/>
        <w:t xml:space="preserve"> выполнить работы досрочно.</w:t>
      </w:r>
    </w:p>
    <w:p>
      <w:pPr>
        <w:pStyle w:val="Normal"/>
        <w:spacing w:lineRule="auto" w:line="240" w:beforeAutospacing="1" w:afterAutospacing="1"/>
        <w:rPr>
          <w:rFonts w:ascii="Times" w:hAnsi="Times"/>
          <w:sz w:val="20"/>
          <w:szCs w:val="20"/>
          <w:lang w:eastAsia="ru-RU"/>
        </w:rPr>
      </w:pPr>
      <w:r>
        <w:rPr>
          <w:rFonts w:cs="Arial" w:ascii="Arial" w:hAnsi="Arial"/>
          <w:color w:val="000000"/>
          <w:sz w:val="20"/>
          <w:szCs w:val="20"/>
          <w:lang w:eastAsia="ru-RU"/>
        </w:rPr>
        <w:t>1.4. Работа считается выполненной после подписания Сторонами акта сдачи-приемки работ.</w:t>
      </w:r>
    </w:p>
    <w:p>
      <w:pPr>
        <w:pStyle w:val="13"/>
        <w:spacing w:beforeAutospacing="0" w:before="0" w:after="280"/>
        <w:rPr/>
      </w:pPr>
      <w:r>
        <w:rPr>
          <w:color w:val="000000"/>
        </w:rPr>
        <w:t xml:space="preserve"> </w:t>
      </w:r>
      <w:r>
        <w:rPr/>
        <w:t>2. Сумма договора и порядок расчетов</w:t>
      </w:r>
    </w:p>
    <w:p>
      <w:pPr>
        <w:pStyle w:val="Normal"/>
        <w:spacing w:lineRule="auto" w:line="240" w:beforeAutospacing="1" w:afterAutospacing="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  <w:lang w:eastAsia="ru-RU"/>
        </w:rPr>
        <w:t>2.1. Сумма настоящего Договора составляет </w:t>
      </w:r>
      <w:r>
        <w:rPr>
          <w:rFonts w:eastAsia="Times New Roman" w:cs="Arial" w:ascii="Arial" w:hAnsi="Arial"/>
          <w:sz w:val="20"/>
          <w:szCs w:val="20"/>
          <w:lang w:eastAsia="ru-RU"/>
        </w:rPr>
        <w:t>_________ (______ рублей __ копеек</w:t>
      </w:r>
      <w:r>
        <w:rPr>
          <w:rFonts w:ascii="Arial" w:hAnsi="Arial"/>
          <w:sz w:val="20"/>
          <w:szCs w:val="20"/>
          <w:lang w:eastAsia="ru-RU"/>
        </w:rPr>
        <w:t>)</w:t>
      </w:r>
      <w:r>
        <w:rPr>
          <w:rFonts w:cs="Arial" w:ascii="Arial" w:hAnsi="Arial"/>
          <w:b/>
          <w:sz w:val="20"/>
          <w:szCs w:val="20"/>
        </w:rPr>
        <w:t>,</w:t>
      </w:r>
      <w:r>
        <w:rPr>
          <w:rFonts w:cs="Arial" w:ascii="Arial" w:hAnsi="Arial"/>
          <w:b/>
          <w:color w:val="0ECC10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 xml:space="preserve">включая НДС ____ </w:t>
      </w:r>
      <w:r>
        <w:rPr>
          <w:rFonts w:ascii="Arial" w:hAnsi="Arial"/>
          <w:color w:val="000000"/>
          <w:sz w:val="20"/>
          <w:szCs w:val="20"/>
          <w:lang w:eastAsia="ru-RU"/>
        </w:rPr>
        <w:t>(</w:t>
      </w:r>
      <w:r>
        <w:rPr>
          <w:rFonts w:eastAsia="Times New Roman" w:cs="Arial" w:ascii="Arial" w:hAnsi="Arial"/>
          <w:sz w:val="20"/>
          <w:szCs w:val="20"/>
          <w:lang w:eastAsia="ru-RU"/>
        </w:rPr>
        <w:t>__________ рублей __ копеек</w:t>
      </w:r>
      <w:r>
        <w:rPr>
          <w:rFonts w:cs="Arial" w:ascii="Arial" w:hAnsi="Arial"/>
          <w:color w:val="000000"/>
          <w:sz w:val="20"/>
          <w:szCs w:val="20"/>
        </w:rPr>
        <w:t>).</w:t>
      </w:r>
    </w:p>
    <w:p>
      <w:pPr>
        <w:pStyle w:val="Normal"/>
        <w:spacing w:lineRule="auto" w:line="240" w:beforeAutospacing="1" w:afterAutospacing="1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color w:val="000000"/>
          <w:sz w:val="20"/>
          <w:szCs w:val="20"/>
        </w:rPr>
        <w:t xml:space="preserve">2.2. </w:t>
      </w:r>
      <w:r>
        <w:rPr>
          <w:rFonts w:cs="Arial" w:ascii="Arial" w:hAnsi="Arial"/>
          <w:color w:val="000000"/>
          <w:sz w:val="20"/>
          <w:szCs w:val="20"/>
          <w:lang w:eastAsia="ru-RU"/>
        </w:rPr>
        <w:t xml:space="preserve">Оплата по настоящему Договору производится </w:t>
      </w:r>
      <w:r>
        <w:rPr>
          <w:rFonts w:eastAsia="Times New Roman" w:cs="Arial" w:ascii="Arial" w:hAnsi="Arial"/>
          <w:sz w:val="20"/>
          <w:szCs w:val="20"/>
          <w:lang w:eastAsia="ru-RU"/>
        </w:rPr>
        <w:t>с авансом</w:t>
      </w:r>
      <w:r>
        <w:rPr>
          <w:rFonts w:cs="Arial" w:ascii="Arial" w:hAnsi="Arial"/>
          <w:b/>
          <w:color w:val="0ECC10"/>
          <w:sz w:val="20"/>
          <w:szCs w:val="20"/>
          <w:lang w:eastAsia="ru-RU"/>
        </w:rPr>
        <w:t xml:space="preserve"> </w:t>
      </w:r>
      <w:r>
        <w:rPr>
          <w:rFonts w:cs="Arial" w:ascii="Arial" w:hAnsi="Arial"/>
          <w:color w:val="000000"/>
          <w:sz w:val="20"/>
          <w:szCs w:val="20"/>
          <w:lang w:eastAsia="ru-RU"/>
        </w:rPr>
        <w:t xml:space="preserve">путем перечисления денежных средств на расчетный счет </w:t>
      </w:r>
      <w:r>
        <w:rPr>
          <w:rFonts w:cs="Arial" w:ascii="Arial" w:hAnsi="Arial"/>
          <w:sz w:val="20"/>
          <w:szCs w:val="20"/>
          <w:lang w:eastAsia="ru-RU"/>
        </w:rPr>
        <w:t>Подрядчика</w:t>
      </w:r>
      <w:r>
        <w:rPr>
          <w:rFonts w:cs="Arial" w:ascii="Arial" w:hAnsi="Arial"/>
          <w:color w:val="000000"/>
          <w:sz w:val="20"/>
          <w:szCs w:val="20"/>
          <w:lang w:eastAsia="ru-RU"/>
        </w:rPr>
        <w:t xml:space="preserve">. </w:t>
      </w:r>
    </w:p>
    <w:p>
      <w:pPr>
        <w:pStyle w:val="Normal"/>
        <w:spacing w:lineRule="auto" w:line="240" w:beforeAutospacing="1" w:afterAutospacing="1"/>
        <w:rPr>
          <w:rFonts w:ascii="Arial" w:hAnsi="Arial" w:eastAsia="Times New Roman" w:cs="Arial"/>
          <w:color w:val="000000"/>
          <w:sz w:val="20"/>
          <w:szCs w:val="20"/>
          <w:lang w:eastAsia="ru-RU"/>
        </w:rPr>
      </w:pPr>
      <w:r>
        <w:rPr>
          <w:rFonts w:eastAsia="Times New Roman" w:cs="Arial" w:ascii="Arial" w:hAnsi="Arial"/>
          <w:color w:val="000000"/>
          <w:sz w:val="20"/>
          <w:szCs w:val="20"/>
          <w:lang w:eastAsia="ru-RU"/>
        </w:rPr>
        <w:t xml:space="preserve">2.3. Размер авансового платежа составляет </w:t>
      </w:r>
      <w:r>
        <w:rPr>
          <w:rFonts w:eastAsia="Times New Roman" w:cs="Arial" w:ascii="Arial" w:hAnsi="Arial"/>
          <w:color w:val="000000"/>
          <w:sz w:val="20"/>
          <w:szCs w:val="20"/>
          <w:u w:val="single"/>
          <w:lang w:eastAsia="ru-RU"/>
        </w:rPr>
        <w:t>50</w:t>
      </w:r>
      <w:r>
        <w:rPr>
          <w:rFonts w:eastAsia="Times New Roman" w:cs="Arial" w:ascii="Arial" w:hAnsi="Arial"/>
          <w:color w:val="000000"/>
          <w:sz w:val="20"/>
          <w:szCs w:val="20"/>
          <w:lang w:eastAsia="ru-RU"/>
        </w:rPr>
        <w:t xml:space="preserve"> % от суммы Договора, а именно </w:t>
      </w:r>
      <w:r>
        <w:rPr>
          <w:rFonts w:eastAsia="Times New Roman" w:cs="Arial" w:ascii="Arial" w:hAnsi="Arial"/>
          <w:sz w:val="20"/>
          <w:szCs w:val="20"/>
          <w:lang w:eastAsia="ru-RU"/>
        </w:rPr>
        <w:t>_____ (___________ рублей __ копеек)</w:t>
      </w:r>
      <w:r>
        <w:rPr>
          <w:rFonts w:eastAsia="Times New Roman" w:cs="Arial" w:ascii="Arial" w:hAnsi="Arial"/>
          <w:color w:val="000000"/>
          <w:sz w:val="20"/>
          <w:szCs w:val="20"/>
          <w:lang w:eastAsia="ru-RU"/>
        </w:rPr>
        <w:t>, включая НДС _____ (________ рубля __ копеек).</w:t>
      </w:r>
    </w:p>
    <w:p>
      <w:pPr>
        <w:pStyle w:val="Normal"/>
        <w:spacing w:lineRule="auto" w:line="240" w:beforeAutospacing="1" w:afterAutospacing="1"/>
        <w:ind w:firstLine="490"/>
        <w:rPr>
          <w:rFonts w:ascii="Arial" w:hAnsi="Arial" w:eastAsia="Times New Roman" w:cs="Arial"/>
          <w:color w:val="000000"/>
          <w:sz w:val="20"/>
          <w:szCs w:val="20"/>
          <w:lang w:eastAsia="ru-RU"/>
        </w:rPr>
      </w:pPr>
      <w:r>
        <w:rPr>
          <w:rFonts w:eastAsia="Times New Roman" w:cs="Arial" w:ascii="Arial" w:hAnsi="Arial"/>
          <w:color w:val="000000"/>
          <w:sz w:val="20"/>
          <w:szCs w:val="20"/>
          <w:lang w:eastAsia="ru-RU"/>
        </w:rPr>
        <w:t xml:space="preserve">Оплата оставшейся части в размере </w:t>
      </w:r>
      <w:r>
        <w:rPr>
          <w:rFonts w:eastAsia="Times New Roman" w:cs="Arial" w:ascii="Arial" w:hAnsi="Arial"/>
          <w:sz w:val="20"/>
          <w:szCs w:val="20"/>
          <w:lang w:eastAsia="ru-RU"/>
        </w:rPr>
        <w:t>_____ (___________ рублей __ копеек)</w:t>
      </w:r>
      <w:r>
        <w:rPr>
          <w:rFonts w:eastAsia="Times New Roman" w:cs="Arial" w:ascii="Arial" w:hAnsi="Arial"/>
          <w:color w:val="000000"/>
          <w:sz w:val="20"/>
          <w:szCs w:val="20"/>
          <w:lang w:eastAsia="ru-RU"/>
        </w:rPr>
        <w:t>, включая НДС _____ (________ рубля __ копеек</w:t>
      </w:r>
      <w:r>
        <w:rPr>
          <w:rFonts w:eastAsia="Times New Roman" w:cs="Arial" w:ascii="Arial" w:hAnsi="Arial"/>
          <w:sz w:val="20"/>
          <w:szCs w:val="20"/>
          <w:lang w:eastAsia="ru-RU"/>
        </w:rPr>
        <w:t>)</w:t>
      </w:r>
      <w:r>
        <w:rPr>
          <w:rFonts w:eastAsia="Times New Roman" w:cs="Arial" w:ascii="Arial" w:hAnsi="Arial"/>
          <w:color w:val="000000"/>
          <w:sz w:val="20"/>
          <w:szCs w:val="20"/>
          <w:lang w:eastAsia="ru-RU"/>
        </w:rPr>
        <w:t>, производится в течение 5 банковских дней со дня подписания Сторонами акта сдачи-приемки работ. </w:t>
      </w:r>
    </w:p>
    <w:p>
      <w:pPr>
        <w:pStyle w:val="ListParagraph"/>
        <w:numPr>
          <w:ilvl w:val="1"/>
          <w:numId w:val="4"/>
        </w:numPr>
        <w:spacing w:lineRule="auto" w:line="240" w:beforeAutospacing="1" w:afterAutospacing="1"/>
        <w:contextualSpacing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color w:val="000000"/>
          <w:sz w:val="20"/>
          <w:szCs w:val="20"/>
          <w:lang w:eastAsia="ru-RU"/>
        </w:rPr>
        <w:t>Цена работ на период действия Договора является фиксированной и пересмотру не подлежит.</w:t>
      </w:r>
    </w:p>
    <w:p>
      <w:pPr>
        <w:pStyle w:val="13"/>
        <w:spacing w:beforeAutospacing="0" w:before="0" w:after="280"/>
        <w:rPr/>
      </w:pPr>
      <w:r>
        <w:rPr/>
        <w:t>3. Обязательства сторон</w:t>
      </w:r>
    </w:p>
    <w:p>
      <w:pPr>
        <w:pStyle w:val="Normal"/>
        <w:spacing w:lineRule="auto" w:line="240" w:beforeAutospacing="1" w:afterAutospacing="1"/>
        <w:rPr>
          <w:rFonts w:ascii="Times" w:hAnsi="Times"/>
          <w:sz w:val="20"/>
          <w:szCs w:val="20"/>
          <w:lang w:eastAsia="ru-RU"/>
        </w:rPr>
      </w:pPr>
      <w:r>
        <w:rPr>
          <w:rFonts w:cs="Arial" w:ascii="Arial" w:hAnsi="Arial"/>
          <w:color w:val="000000"/>
          <w:sz w:val="20"/>
          <w:szCs w:val="20"/>
          <w:lang w:eastAsia="ru-RU"/>
        </w:rPr>
        <w:t>3.1. Заказчик имеет право:</w:t>
      </w:r>
    </w:p>
    <w:p>
      <w:pPr>
        <w:pStyle w:val="Normal"/>
        <w:spacing w:lineRule="auto" w:line="240" w:beforeAutospacing="1" w:afterAutospacing="1"/>
        <w:ind w:left="709" w:hanging="0"/>
        <w:rPr>
          <w:rFonts w:ascii="Times" w:hAnsi="Times"/>
          <w:sz w:val="20"/>
          <w:szCs w:val="20"/>
          <w:lang w:eastAsia="ru-RU"/>
        </w:rPr>
      </w:pPr>
      <w:r>
        <w:rPr>
          <w:rFonts w:cs="Arial" w:ascii="Arial" w:hAnsi="Arial"/>
          <w:color w:val="000000"/>
          <w:sz w:val="20"/>
          <w:szCs w:val="20"/>
          <w:lang w:eastAsia="ru-RU"/>
        </w:rPr>
        <w:t>3.1.1. Во всякое время проверять ход и качество работы, выполняемой Подрядчиком, не вмешиваясь в его хозяйственную деятельность.</w:t>
      </w:r>
    </w:p>
    <w:p>
      <w:pPr>
        <w:pStyle w:val="Normal"/>
        <w:spacing w:lineRule="auto" w:line="240" w:beforeAutospacing="1" w:afterAutospacing="1"/>
        <w:rPr>
          <w:rFonts w:ascii="Times" w:hAnsi="Times"/>
          <w:sz w:val="20"/>
          <w:szCs w:val="20"/>
          <w:lang w:eastAsia="ru-RU"/>
        </w:rPr>
      </w:pPr>
      <w:r>
        <w:rPr>
          <w:rFonts w:cs="Arial" w:ascii="Arial" w:hAnsi="Arial"/>
          <w:color w:val="000000"/>
          <w:sz w:val="20"/>
          <w:szCs w:val="20"/>
          <w:lang w:eastAsia="ru-RU"/>
        </w:rPr>
        <w:t>3.2. Подрядчик обязан:</w:t>
      </w:r>
    </w:p>
    <w:p>
      <w:pPr>
        <w:pStyle w:val="Normal"/>
        <w:spacing w:lineRule="auto" w:line="240" w:beforeAutospacing="1" w:afterAutospacing="1"/>
        <w:ind w:left="709" w:hanging="0"/>
        <w:rPr>
          <w:rFonts w:ascii="Times" w:hAnsi="Times"/>
          <w:sz w:val="20"/>
          <w:szCs w:val="20"/>
          <w:lang w:eastAsia="ru-RU"/>
        </w:rPr>
      </w:pPr>
      <w:r>
        <w:rPr>
          <w:rFonts w:cs="Arial" w:ascii="Arial" w:hAnsi="Arial"/>
          <w:color w:val="000000"/>
          <w:sz w:val="20"/>
          <w:szCs w:val="20"/>
          <w:lang w:eastAsia="ru-RU"/>
        </w:rPr>
        <w:t>3.2.1. Выполнить все работы в объеме и в сроки, предусмотренные п.1.3. настоящего Договора, и сдать работы Заказчику в состоянии, соответствующем условиям настоящего Договора.</w:t>
      </w:r>
    </w:p>
    <w:p>
      <w:pPr>
        <w:pStyle w:val="Normal"/>
        <w:spacing w:lineRule="auto" w:line="240" w:beforeAutospacing="1" w:afterAutospacing="1"/>
        <w:ind w:left="709" w:hanging="0"/>
        <w:rPr>
          <w:rFonts w:ascii="Times" w:hAnsi="Times"/>
          <w:sz w:val="20"/>
          <w:szCs w:val="20"/>
          <w:lang w:eastAsia="ru-RU"/>
        </w:rPr>
      </w:pPr>
      <w:r>
        <w:rPr>
          <w:rFonts w:cs="Arial" w:ascii="Arial" w:hAnsi="Arial"/>
          <w:color w:val="000000"/>
          <w:sz w:val="20"/>
          <w:szCs w:val="20"/>
          <w:lang w:eastAsia="ru-RU"/>
        </w:rPr>
        <w:t>3.2.2. Согласовывать с Заказчиком заключение договоров субподряда со специализированными организациями, привлекаемыми для выполнения работ по настоящему Договору, и обеспечивать контроль над ходом выполняемых ими работ и нести ответственность за качество и результат выполняемых ими работ.</w:t>
      </w:r>
    </w:p>
    <w:p>
      <w:pPr>
        <w:pStyle w:val="Normal"/>
        <w:spacing w:lineRule="auto" w:line="240" w:beforeAutospacing="1" w:afterAutospacing="1"/>
        <w:ind w:left="709" w:hanging="0"/>
        <w:rPr>
          <w:rFonts w:ascii="Times" w:hAnsi="Times"/>
          <w:sz w:val="20"/>
          <w:szCs w:val="20"/>
          <w:lang w:eastAsia="ru-RU"/>
        </w:rPr>
      </w:pPr>
      <w:r>
        <w:rPr>
          <w:rFonts w:cs="Arial" w:ascii="Arial" w:hAnsi="Arial"/>
          <w:color w:val="000000"/>
          <w:sz w:val="20"/>
          <w:szCs w:val="20"/>
          <w:lang w:eastAsia="ru-RU"/>
        </w:rPr>
        <w:t>3.2.3. По окончании работы передать ее результат и права на нее Заказчику, а также передать Заказчику информацию, необходимую для эксплуатации и иного использования результата работ.</w:t>
      </w:r>
    </w:p>
    <w:p>
      <w:pPr>
        <w:pStyle w:val="Normal"/>
        <w:spacing w:lineRule="auto" w:line="240" w:beforeAutospacing="1" w:afterAutospacing="1"/>
        <w:ind w:left="709" w:hanging="0"/>
        <w:rPr>
          <w:rFonts w:ascii="Times" w:hAnsi="Times"/>
          <w:sz w:val="20"/>
          <w:szCs w:val="20"/>
          <w:lang w:eastAsia="ru-RU"/>
        </w:rPr>
      </w:pPr>
      <w:r>
        <w:rPr>
          <w:rFonts w:cs="Arial" w:ascii="Arial" w:hAnsi="Arial"/>
          <w:color w:val="000000"/>
          <w:sz w:val="20"/>
          <w:szCs w:val="20"/>
          <w:lang w:eastAsia="ru-RU"/>
        </w:rPr>
        <w:t>3.2.4. Предоставить срок гарантии нормального функционирования результатов работы на </w:t>
      </w:r>
      <w:r>
        <w:rPr>
          <w:rFonts w:cs="Arial" w:ascii="Arial" w:hAnsi="Arial"/>
          <w:sz w:val="20"/>
          <w:szCs w:val="20"/>
        </w:rPr>
        <w:t>12 (двенадцать) месяцев</w:t>
      </w:r>
      <w:r>
        <w:rPr>
          <w:rFonts w:cs="Arial" w:ascii="Arial" w:hAnsi="Arial"/>
          <w:color w:val="000000"/>
          <w:sz w:val="20"/>
          <w:szCs w:val="20"/>
          <w:lang w:eastAsia="ru-RU"/>
        </w:rPr>
        <w:t xml:space="preserve"> с даты подписания Сторонами акта сдачи-приемки работ или акта устранения недостатков, за исключением случаев преднамеренного повреждения указанных результатов со стороны третьих лиц.</w:t>
      </w:r>
    </w:p>
    <w:p>
      <w:pPr>
        <w:pStyle w:val="Normal"/>
        <w:spacing w:lineRule="auto" w:line="240" w:beforeAutospacing="1" w:afterAutospacing="1"/>
        <w:ind w:left="709" w:hanging="0"/>
        <w:rPr>
          <w:rFonts w:ascii="Times" w:hAnsi="Times"/>
          <w:sz w:val="20"/>
          <w:szCs w:val="20"/>
          <w:lang w:eastAsia="ru-RU"/>
        </w:rPr>
      </w:pPr>
      <w:r>
        <w:rPr>
          <w:rFonts w:cs="Arial" w:ascii="Arial" w:hAnsi="Arial"/>
          <w:color w:val="000000"/>
          <w:sz w:val="20"/>
          <w:szCs w:val="20"/>
          <w:lang w:eastAsia="ru-RU"/>
        </w:rPr>
        <w:t>3.2.5. При обнаружении в период гарантийного срока эксплуатации недостатков работ устранить их за свой счет в срок, не превышающий </w:t>
      </w:r>
      <w:r>
        <w:rPr>
          <w:rFonts w:cs="Arial" w:ascii="Arial" w:hAnsi="Arial"/>
          <w:color w:val="000000"/>
          <w:sz w:val="20"/>
          <w:szCs w:val="20"/>
        </w:rPr>
        <w:t>10 (десяти) календарных дней</w:t>
      </w:r>
      <w:r>
        <w:rPr>
          <w:rFonts w:cs="Arial" w:ascii="Arial" w:hAnsi="Arial"/>
          <w:color w:val="000000"/>
          <w:sz w:val="20"/>
          <w:szCs w:val="20"/>
          <w:lang w:eastAsia="ru-RU"/>
        </w:rPr>
        <w:t>. При этом гарантийный срок продлевается на период устранения недостатков.</w:t>
      </w:r>
    </w:p>
    <w:p>
      <w:pPr>
        <w:pStyle w:val="Normal"/>
        <w:spacing w:lineRule="auto" w:line="240" w:beforeAutospacing="1" w:afterAutospacing="1"/>
        <w:ind w:left="709" w:hanging="0"/>
        <w:rPr>
          <w:rFonts w:ascii="Times" w:hAnsi="Times"/>
          <w:sz w:val="20"/>
          <w:szCs w:val="20"/>
          <w:lang w:eastAsia="ru-RU"/>
        </w:rPr>
      </w:pPr>
      <w:r>
        <w:rPr>
          <w:rFonts w:cs="Arial" w:ascii="Arial" w:hAnsi="Arial"/>
          <w:color w:val="000000"/>
          <w:sz w:val="20"/>
          <w:szCs w:val="20"/>
          <w:lang w:eastAsia="ru-RU"/>
        </w:rPr>
        <w:t>3.2.6. Возвратить по окончании работ неиспользованные материалы и имущество, предоставленные Заказчиком для производства работ, в том состоянии, в котором они были предоставлены ранее.</w:t>
      </w:r>
    </w:p>
    <w:p>
      <w:pPr>
        <w:pStyle w:val="Normal"/>
        <w:spacing w:lineRule="auto" w:line="240" w:beforeAutospacing="1" w:afterAutospacing="1"/>
        <w:rPr>
          <w:rFonts w:ascii="Times" w:hAnsi="Times"/>
          <w:sz w:val="20"/>
          <w:szCs w:val="20"/>
          <w:lang w:eastAsia="ru-RU"/>
        </w:rPr>
      </w:pPr>
      <w:r>
        <w:rPr>
          <w:rFonts w:cs="Arial" w:ascii="Arial" w:hAnsi="Arial"/>
          <w:color w:val="000000"/>
          <w:sz w:val="20"/>
          <w:szCs w:val="20"/>
          <w:lang w:eastAsia="ru-RU"/>
        </w:rPr>
        <w:t>3.3. Заказчик обязан:</w:t>
      </w:r>
    </w:p>
    <w:p>
      <w:pPr>
        <w:pStyle w:val="Normal"/>
        <w:spacing w:lineRule="auto" w:line="240" w:beforeAutospacing="1" w:afterAutospacing="1"/>
        <w:ind w:left="708" w:hanging="0"/>
        <w:rPr>
          <w:rFonts w:ascii="Times" w:hAnsi="Times"/>
          <w:sz w:val="20"/>
          <w:szCs w:val="20"/>
          <w:lang w:eastAsia="ru-RU"/>
        </w:rPr>
      </w:pPr>
      <w:r>
        <w:rPr>
          <w:rFonts w:cs="Arial" w:ascii="Arial" w:hAnsi="Arial"/>
          <w:color w:val="000000"/>
          <w:sz w:val="20"/>
          <w:szCs w:val="20"/>
          <w:lang w:eastAsia="ru-RU"/>
        </w:rPr>
        <w:t>3.3.1. В течение </w:t>
      </w:r>
      <w:r>
        <w:rPr>
          <w:rFonts w:cs="Arial" w:ascii="Arial" w:hAnsi="Arial"/>
          <w:color w:val="000000"/>
          <w:sz w:val="20"/>
          <w:szCs w:val="20"/>
        </w:rPr>
        <w:t>5 (пяти) рабочих дней</w:t>
      </w:r>
      <w:r>
        <w:rPr>
          <w:rFonts w:cs="Arial" w:ascii="Arial" w:hAnsi="Arial"/>
          <w:b/>
          <w:color w:val="0ECC10"/>
          <w:sz w:val="20"/>
          <w:szCs w:val="20"/>
          <w:lang w:eastAsia="ru-RU"/>
        </w:rPr>
        <w:t xml:space="preserve"> </w:t>
      </w:r>
      <w:r>
        <w:rPr>
          <w:rFonts w:cs="Arial" w:ascii="Arial" w:hAnsi="Arial"/>
          <w:color w:val="000000"/>
          <w:sz w:val="20"/>
          <w:szCs w:val="20"/>
          <w:lang w:eastAsia="ru-RU"/>
        </w:rPr>
        <w:t>после получения от Подрядчика извещения об окончании работы (этапа работ) либо по истечении срока, указанного в п. 1.3 настоящего Договора, осмотреть и принять результаты работы, а при обнаружении отступлений от договора, ухудшающих результаты работы, или иных недостатков в работе немедленно уведомить об этом Подрядчика.</w:t>
      </w:r>
    </w:p>
    <w:p>
      <w:pPr>
        <w:pStyle w:val="Normal"/>
        <w:spacing w:lineRule="auto" w:line="240" w:beforeAutospacing="1" w:afterAutospacing="1"/>
        <w:ind w:left="708" w:hanging="0"/>
        <w:rPr>
          <w:rFonts w:ascii="Times" w:hAnsi="Times"/>
          <w:sz w:val="20"/>
          <w:szCs w:val="20"/>
          <w:lang w:eastAsia="ru-RU"/>
        </w:rPr>
      </w:pPr>
      <w:r>
        <w:rPr>
          <w:rFonts w:cs="Arial" w:ascii="Arial" w:hAnsi="Arial"/>
          <w:color w:val="000000"/>
          <w:sz w:val="20"/>
          <w:szCs w:val="20"/>
          <w:lang w:eastAsia="ru-RU"/>
        </w:rPr>
        <w:t>3.3.2 Оплатить выполненные Подрядчиком работы в размерах и в сроки, установленные настоящим Договором.</w:t>
      </w:r>
    </w:p>
    <w:p>
      <w:pPr>
        <w:pStyle w:val="13"/>
        <w:spacing w:before="280" w:after="280"/>
        <w:rPr/>
      </w:pPr>
      <w:r>
        <w:rPr/>
        <w:t>4. Порядок сдачи и приемки работ</w:t>
      </w:r>
    </w:p>
    <w:p>
      <w:pPr>
        <w:pStyle w:val="Normal"/>
        <w:spacing w:lineRule="auto" w:line="240" w:beforeAutospacing="1" w:afterAutospacing="1"/>
        <w:rPr>
          <w:rFonts w:ascii="Times" w:hAnsi="Times"/>
          <w:sz w:val="20"/>
          <w:szCs w:val="20"/>
          <w:lang w:eastAsia="ru-RU"/>
        </w:rPr>
      </w:pPr>
      <w:r>
        <w:rPr>
          <w:rFonts w:cs="Arial" w:ascii="Arial" w:hAnsi="Arial"/>
          <w:color w:val="000000"/>
          <w:sz w:val="20"/>
          <w:szCs w:val="20"/>
          <w:lang w:eastAsia="ru-RU"/>
        </w:rPr>
        <w:t>4.1. Подрядчик обязан в письменной форме известить Заказчика о выполнении работ.</w:t>
      </w:r>
    </w:p>
    <w:p>
      <w:pPr>
        <w:pStyle w:val="Normal"/>
        <w:spacing w:lineRule="auto" w:line="240" w:beforeAutospacing="1" w:afterAutospacing="1"/>
        <w:rPr>
          <w:rFonts w:ascii="Times" w:hAnsi="Times"/>
          <w:sz w:val="20"/>
          <w:szCs w:val="20"/>
          <w:lang w:eastAsia="ru-RU"/>
        </w:rPr>
      </w:pPr>
      <w:r>
        <w:rPr>
          <w:rFonts w:cs="Arial" w:ascii="Arial" w:hAnsi="Arial"/>
          <w:color w:val="000000"/>
          <w:sz w:val="20"/>
          <w:szCs w:val="20"/>
          <w:lang w:eastAsia="ru-RU"/>
        </w:rPr>
        <w:t>4.2. Сдача результатов работ Подрядчиком и приемка их Заказчиком производится в соответствии с гражданским законодательством и оформляется актом сдачи-приемки работ, подписываемым обеими Сторонами, с указанием недостатков (в случае их обнаружения), а также сроков и порядка их устранения.  В случае выявления несоответствия результатов выполненных работ условиям настоящего Договора Заказчик незамедлительно уведомляет об этом Подрядчика, составляет акт устранения недостатков с указанием сроков их исправлений и направляет его Подрядчику.  Подрядчик обязан в течение </w:t>
      </w:r>
      <w:r>
        <w:rPr>
          <w:rFonts w:cs="Arial" w:ascii="Arial" w:hAnsi="Arial"/>
          <w:color w:val="000000"/>
          <w:sz w:val="20"/>
          <w:szCs w:val="20"/>
        </w:rPr>
        <w:t>5 (пяти) рабочих дней</w:t>
      </w:r>
      <w:r>
        <w:rPr>
          <w:rFonts w:cs="Arial" w:ascii="Arial" w:hAnsi="Arial"/>
          <w:color w:val="000000"/>
          <w:sz w:val="20"/>
          <w:szCs w:val="20"/>
          <w:lang w:eastAsia="ru-RU"/>
        </w:rPr>
        <w:t xml:space="preserve"> со дня получения указанного акта устранить выявленные недостатки за свой счет.</w:t>
      </w:r>
    </w:p>
    <w:p>
      <w:pPr>
        <w:pStyle w:val="Normal"/>
        <w:spacing w:lineRule="auto" w:line="240" w:beforeAutospacing="1" w:afterAutospacing="1"/>
        <w:rPr>
          <w:rFonts w:ascii="Times" w:hAnsi="Times"/>
          <w:sz w:val="20"/>
          <w:szCs w:val="20"/>
          <w:lang w:eastAsia="ru-RU"/>
        </w:rPr>
      </w:pPr>
      <w:r>
        <w:rPr>
          <w:rFonts w:cs="Arial" w:ascii="Arial" w:hAnsi="Arial"/>
          <w:color w:val="000000"/>
          <w:sz w:val="20"/>
          <w:szCs w:val="20"/>
          <w:lang w:eastAsia="ru-RU"/>
        </w:rPr>
        <w:t>4.3. Датой выполнения работ считается дата подписания Сторонами акта сдачи-приемки выполненных работ или акта устранения недостатков.  (В случае выполнения работ отдельными этапами сдача-приемка выполненных работ осуществляется поэтапно.)</w:t>
      </w:r>
    </w:p>
    <w:p>
      <w:pPr>
        <w:pStyle w:val="13"/>
        <w:spacing w:beforeAutospacing="0" w:before="0" w:after="280"/>
        <w:rPr/>
      </w:pPr>
      <w:r>
        <w:rPr/>
        <w:t>5. Ответственность сторон</w:t>
      </w:r>
    </w:p>
    <w:p>
      <w:pPr>
        <w:pStyle w:val="Normal"/>
        <w:spacing w:lineRule="auto" w:line="240" w:beforeAutospacing="1" w:afterAutospacing="1"/>
        <w:rPr>
          <w:rFonts w:ascii="Times" w:hAnsi="Times"/>
          <w:sz w:val="20"/>
          <w:szCs w:val="20"/>
          <w:lang w:eastAsia="ru-RU"/>
        </w:rPr>
      </w:pPr>
      <w:r>
        <w:rPr>
          <w:rFonts w:cs="Arial" w:ascii="Arial" w:hAnsi="Arial"/>
          <w:color w:val="000000"/>
          <w:sz w:val="20"/>
          <w:szCs w:val="20"/>
          <w:lang w:eastAsia="ru-RU"/>
        </w:rPr>
        <w:t xml:space="preserve">5.1. </w:t>
      </w:r>
      <w:r>
        <w:rPr>
          <w:rFonts w:cs="Arial" w:ascii="Arial" w:hAnsi="Arial"/>
          <w:color w:val="000000"/>
          <w:sz w:val="20"/>
          <w:szCs w:val="20"/>
        </w:rPr>
        <w:t>За нарушение установленного по Договору конечного срока выполнения работ и за нарушение сроков выполнения этапов, если они предусмотрены по Договору, Подрядчик, при наличии письменной претензии, уплачивает Заказчику пеню в размере 0,1 % цены работ или этапа за каждый день просрочки, но не более 10 % указанной цены</w:t>
      </w:r>
      <w:r>
        <w:rPr>
          <w:rFonts w:cs="Arial" w:ascii="Arial" w:hAnsi="Arial"/>
          <w:color w:val="000000"/>
          <w:sz w:val="20"/>
          <w:szCs w:val="20"/>
          <w:lang w:eastAsia="ru-RU"/>
        </w:rPr>
        <w:t>.</w:t>
      </w:r>
    </w:p>
    <w:p>
      <w:pPr>
        <w:pStyle w:val="Normal"/>
        <w:spacing w:lineRule="auto" w:line="240" w:beforeAutospacing="1" w:afterAutospacing="1"/>
        <w:rPr>
          <w:rFonts w:ascii="Times" w:hAnsi="Times"/>
          <w:sz w:val="20"/>
          <w:szCs w:val="20"/>
          <w:lang w:eastAsia="ru-RU"/>
        </w:rPr>
      </w:pPr>
      <w:r>
        <w:rPr>
          <w:rFonts w:cs="Arial" w:ascii="Arial" w:hAnsi="Arial"/>
          <w:color w:val="000000"/>
          <w:sz w:val="20"/>
          <w:szCs w:val="20"/>
          <w:lang w:eastAsia="ru-RU"/>
        </w:rPr>
        <w:t xml:space="preserve">5.2. </w:t>
      </w:r>
      <w:r>
        <w:rPr>
          <w:rFonts w:cs="Arial" w:ascii="Arial" w:hAnsi="Arial"/>
          <w:color w:val="000000"/>
          <w:sz w:val="20"/>
          <w:szCs w:val="20"/>
        </w:rPr>
        <w:t>При несоблюдении предусмотренных настоящим Договором сроков платежей Заказчик, при наличии письменной претензии, уплачивает Подрядчику пеню в размере 0,1 % не перечисленной в срок суммы за каждый день просрочки, но не более 10 % указанной суммы</w:t>
      </w:r>
      <w:r>
        <w:rPr>
          <w:rFonts w:cs="Arial" w:ascii="Arial" w:hAnsi="Arial"/>
          <w:color w:val="000000"/>
          <w:sz w:val="20"/>
          <w:szCs w:val="20"/>
          <w:lang w:eastAsia="ru-RU"/>
        </w:rPr>
        <w:t>.</w:t>
      </w:r>
    </w:p>
    <w:p>
      <w:pPr>
        <w:pStyle w:val="Normal"/>
        <w:spacing w:lineRule="auto" w:line="240" w:beforeAutospacing="1" w:afterAutospacing="1"/>
        <w:rPr>
          <w:rFonts w:ascii="Times" w:hAnsi="Times"/>
          <w:sz w:val="20"/>
          <w:szCs w:val="20"/>
          <w:lang w:eastAsia="ru-RU"/>
        </w:rPr>
      </w:pPr>
      <w:r>
        <w:rPr>
          <w:rFonts w:cs="Arial" w:ascii="Arial" w:hAnsi="Arial"/>
          <w:color w:val="000000"/>
          <w:sz w:val="20"/>
          <w:szCs w:val="20"/>
          <w:lang w:eastAsia="ru-RU"/>
        </w:rPr>
        <w:t>5.3. Ответственность сторон в иных случаях определяется в соответствии с законодательством Российской Федерации.</w:t>
      </w:r>
    </w:p>
    <w:p>
      <w:pPr>
        <w:pStyle w:val="Normal"/>
        <w:spacing w:lineRule="auto" w:line="240" w:beforeAutospacing="1" w:afterAutospacing="1"/>
        <w:rPr>
          <w:rFonts w:ascii="Times" w:hAnsi="Times"/>
          <w:sz w:val="20"/>
          <w:szCs w:val="20"/>
          <w:lang w:eastAsia="ru-RU"/>
        </w:rPr>
      </w:pPr>
      <w:r>
        <w:rPr>
          <w:rFonts w:cs="Arial" w:ascii="Arial" w:hAnsi="Arial"/>
          <w:color w:val="000000"/>
          <w:sz w:val="20"/>
          <w:szCs w:val="20"/>
          <w:lang w:eastAsia="ru-RU"/>
        </w:rPr>
        <w:t>5.4. Уплата неустойки не освобождает Стороны от исполнения обязательств по настоящему Договору или устранения нарушений.</w:t>
      </w:r>
    </w:p>
    <w:p>
      <w:pPr>
        <w:pStyle w:val="13"/>
        <w:spacing w:before="280" w:after="280"/>
        <w:rPr/>
      </w:pPr>
      <w:r>
        <w:rPr/>
        <w:t>6. Действие обстоятельств непреодолимой силы</w:t>
      </w:r>
    </w:p>
    <w:p>
      <w:pPr>
        <w:pStyle w:val="Normal"/>
        <w:spacing w:lineRule="auto" w:line="240" w:beforeAutospacing="1" w:afterAutospacing="1"/>
        <w:rPr>
          <w:rFonts w:ascii="Times" w:hAnsi="Times"/>
          <w:sz w:val="20"/>
          <w:szCs w:val="20"/>
          <w:lang w:eastAsia="ru-RU"/>
        </w:rPr>
      </w:pPr>
      <w:r>
        <w:rPr>
          <w:rFonts w:cs="Arial" w:ascii="Arial" w:hAnsi="Arial"/>
          <w:color w:val="000000"/>
          <w:sz w:val="20"/>
          <w:szCs w:val="20"/>
          <w:lang w:eastAsia="ru-RU"/>
        </w:rPr>
        <w:t>6.1. Ни одна из Сторон не несет ответственность перед другой Стороной за неисполнение обязательств по настоящему Договору, обусловленное действием обстоятельств непреодолимой силы, т. е. чрезвычайных и непредотвратимых при данных условиях обстоятельств, возникших помимо воли и желания сторон и которые нельзя предвидеть или избежать, в том числе объявленная или фактическая война, гражданские волнения, эпидемии, блокада, эмбарго, пожары, землетрясения, наводнения и другие природные стихийные бедствия, а также издание актов государственных органов.</w:t>
      </w:r>
    </w:p>
    <w:p>
      <w:pPr>
        <w:pStyle w:val="Normal"/>
        <w:spacing w:lineRule="auto" w:line="240" w:beforeAutospacing="1" w:afterAutospacing="1"/>
        <w:rPr>
          <w:rFonts w:ascii="Times" w:hAnsi="Times"/>
          <w:sz w:val="20"/>
          <w:szCs w:val="20"/>
          <w:lang w:eastAsia="ru-RU"/>
        </w:rPr>
      </w:pPr>
      <w:r>
        <w:rPr>
          <w:rFonts w:cs="Arial" w:ascii="Arial" w:hAnsi="Arial"/>
          <w:color w:val="000000"/>
          <w:sz w:val="20"/>
          <w:szCs w:val="20"/>
          <w:lang w:eastAsia="ru-RU"/>
        </w:rPr>
        <w:t>6.2. Свидетельство, выданное соответствующим компетентным органом, является достаточным подтверждением наличия и продолжительности действия непреодолимой силы.</w:t>
      </w:r>
    </w:p>
    <w:p>
      <w:pPr>
        <w:pStyle w:val="Normal"/>
        <w:spacing w:lineRule="auto" w:line="240" w:beforeAutospacing="1" w:afterAutospacing="1"/>
        <w:rPr>
          <w:rFonts w:ascii="Times" w:hAnsi="Times"/>
          <w:sz w:val="20"/>
          <w:szCs w:val="20"/>
          <w:lang w:eastAsia="ru-RU"/>
        </w:rPr>
      </w:pPr>
      <w:r>
        <w:rPr>
          <w:rFonts w:cs="Arial" w:ascii="Arial" w:hAnsi="Arial"/>
          <w:color w:val="000000"/>
          <w:sz w:val="20"/>
          <w:szCs w:val="20"/>
          <w:lang w:eastAsia="ru-RU"/>
        </w:rPr>
        <w:t>6.3. Сторона, не исполняющая обязательств по настоящему Договору вследствие действия непреодолимой силы, должна незамедлительно известить другую Сторону о таких обстоятельствах и их влиянии на исполнение обязательств по Договору.</w:t>
      </w:r>
    </w:p>
    <w:p>
      <w:pPr>
        <w:pStyle w:val="Normal"/>
        <w:spacing w:lineRule="auto" w:line="240" w:beforeAutospacing="1" w:afterAutospacing="1"/>
        <w:rPr>
          <w:rFonts w:ascii="Times" w:hAnsi="Times"/>
          <w:sz w:val="20"/>
          <w:szCs w:val="20"/>
          <w:lang w:eastAsia="ru-RU"/>
        </w:rPr>
      </w:pPr>
      <w:r>
        <w:rPr>
          <w:rFonts w:cs="Arial" w:ascii="Arial" w:hAnsi="Arial"/>
          <w:color w:val="000000"/>
          <w:sz w:val="20"/>
          <w:szCs w:val="20"/>
          <w:lang w:eastAsia="ru-RU"/>
        </w:rPr>
        <w:t>6.4. Если обстоятельства непреодолимой силы действуют на протяжении 3 (трех) последовательных месяцев, настоящий Договор может быть расторгнут любой из Сторон путем направления письменного уведомления другой Стороне.</w:t>
      </w:r>
    </w:p>
    <w:p>
      <w:pPr>
        <w:pStyle w:val="13"/>
        <w:spacing w:before="280" w:after="280"/>
        <w:rPr/>
      </w:pPr>
      <w:r>
        <w:rPr/>
        <w:t>7. Порядок разрешения споров</w:t>
      </w:r>
    </w:p>
    <w:p>
      <w:pPr>
        <w:pStyle w:val="Normal"/>
        <w:spacing w:lineRule="auto" w:line="240" w:beforeAutospacing="1" w:afterAutospacing="1"/>
        <w:rPr>
          <w:rFonts w:ascii="Times" w:hAnsi="Times"/>
          <w:sz w:val="20"/>
          <w:szCs w:val="20"/>
          <w:lang w:eastAsia="ru-RU"/>
        </w:rPr>
      </w:pPr>
      <w:r>
        <w:rPr>
          <w:rFonts w:cs="Arial" w:ascii="Arial" w:hAnsi="Arial"/>
          <w:color w:val="000000"/>
          <w:sz w:val="20"/>
          <w:szCs w:val="20"/>
          <w:lang w:eastAsia="ru-RU"/>
        </w:rPr>
        <w:t>7.1. Все споры или разногласия, возникающие между Сторонами по настоящему Договору или в связи с ним, разрешаются путем переговоров между ними.</w:t>
      </w:r>
    </w:p>
    <w:p>
      <w:pPr>
        <w:pStyle w:val="Normal"/>
        <w:spacing w:lineRule="auto" w:line="240" w:beforeAutospacing="1" w:afterAutospacing="1"/>
        <w:rPr>
          <w:rFonts w:ascii="Times" w:hAnsi="Times"/>
          <w:sz w:val="20"/>
          <w:szCs w:val="20"/>
          <w:lang w:eastAsia="ru-RU"/>
        </w:rPr>
      </w:pPr>
      <w:r>
        <w:rPr>
          <w:rFonts w:cs="Arial" w:ascii="Arial" w:hAnsi="Arial"/>
          <w:color w:val="000000"/>
          <w:sz w:val="20"/>
          <w:szCs w:val="20"/>
          <w:lang w:eastAsia="ru-RU"/>
        </w:rPr>
        <w:t>7.2. В случае невозможности разрешения разногласий путем переговоров они подлежат рассмотрению в арбитражном суде согласно порядку, установленному законодательством Российской Федерации.</w:t>
      </w:r>
    </w:p>
    <w:p>
      <w:pPr>
        <w:pStyle w:val="13"/>
        <w:spacing w:before="280" w:after="280"/>
        <w:rPr/>
      </w:pPr>
      <w:r>
        <w:rPr/>
        <w:t>8. Порядок изменения и расторжения договора</w:t>
      </w:r>
    </w:p>
    <w:p>
      <w:pPr>
        <w:pStyle w:val="Normal"/>
        <w:spacing w:lineRule="auto" w:line="240" w:beforeAutospacing="1" w:afterAutospacing="1"/>
        <w:rPr>
          <w:rFonts w:ascii="Times" w:hAnsi="Times"/>
          <w:sz w:val="20"/>
          <w:szCs w:val="20"/>
          <w:lang w:eastAsia="ru-RU"/>
        </w:rPr>
      </w:pPr>
      <w:r>
        <w:rPr>
          <w:rFonts w:cs="Arial" w:ascii="Arial" w:hAnsi="Arial"/>
          <w:color w:val="000000"/>
          <w:sz w:val="20"/>
          <w:szCs w:val="20"/>
          <w:lang w:eastAsia="ru-RU"/>
        </w:rPr>
        <w:t>8.1. Любые изменения и дополнения к настоящему Договору имеют силу только в том случае, если они оформлены в письменном виде и подписаны обеими Сторонами.</w:t>
      </w:r>
    </w:p>
    <w:p>
      <w:pPr>
        <w:pStyle w:val="Normal"/>
        <w:spacing w:lineRule="auto" w:line="240" w:beforeAutospacing="1" w:afterAutospacing="1"/>
        <w:rPr>
          <w:rFonts w:ascii="Times" w:hAnsi="Times"/>
          <w:sz w:val="20"/>
          <w:szCs w:val="20"/>
          <w:lang w:eastAsia="ru-RU"/>
        </w:rPr>
      </w:pPr>
      <w:r>
        <w:rPr>
          <w:rFonts w:cs="Arial" w:ascii="Arial" w:hAnsi="Arial"/>
          <w:color w:val="000000"/>
          <w:sz w:val="20"/>
          <w:szCs w:val="20"/>
          <w:lang w:eastAsia="ru-RU"/>
        </w:rPr>
        <w:t>8.2. Досрочное расторжение Договора может иметь место в соответствии с п. 6.4 настоящего Договора либо по соглашению Сторон, либо на основаниях, предусмотренных законодательством Российской Федерации.</w:t>
      </w:r>
    </w:p>
    <w:p>
      <w:pPr>
        <w:pStyle w:val="Normal"/>
        <w:spacing w:lineRule="auto" w:line="240" w:beforeAutospacing="1" w:afterAutospacing="1"/>
        <w:rPr>
          <w:rFonts w:ascii="Times" w:hAnsi="Times"/>
          <w:sz w:val="20"/>
          <w:szCs w:val="20"/>
          <w:lang w:eastAsia="ru-RU"/>
        </w:rPr>
      </w:pPr>
      <w:r>
        <w:rPr>
          <w:rFonts w:cs="Arial" w:ascii="Arial" w:hAnsi="Arial"/>
          <w:color w:val="000000"/>
          <w:sz w:val="20"/>
          <w:szCs w:val="20"/>
          <w:lang w:eastAsia="ru-RU"/>
        </w:rPr>
        <w:t>8.3. Заказчик имеет право расторгнуть Договор в одностороннем порядке в соответствии с п. 3.1.2 настоящего Договора без возмещения Подрядчику убытков, связанных с расторжением договора.</w:t>
      </w:r>
    </w:p>
    <w:p>
      <w:pPr>
        <w:pStyle w:val="Normal"/>
        <w:spacing w:lineRule="auto" w:line="240" w:beforeAutospacing="1" w:afterAutospacing="1"/>
        <w:rPr>
          <w:rFonts w:ascii="Times" w:hAnsi="Times"/>
          <w:sz w:val="20"/>
          <w:szCs w:val="20"/>
          <w:lang w:eastAsia="ru-RU"/>
        </w:rPr>
      </w:pPr>
      <w:r>
        <w:rPr>
          <w:rFonts w:cs="Arial" w:ascii="Arial" w:hAnsi="Arial"/>
          <w:color w:val="000000"/>
          <w:sz w:val="20"/>
          <w:szCs w:val="20"/>
          <w:lang w:eastAsia="ru-RU"/>
        </w:rPr>
        <w:t xml:space="preserve">8.4. </w:t>
      </w:r>
      <w:r>
        <w:rPr>
          <w:rFonts w:cs="Arial" w:ascii="Arial" w:hAnsi="Arial"/>
          <w:color w:val="000000"/>
          <w:sz w:val="20"/>
          <w:szCs w:val="20"/>
        </w:rPr>
        <w:t>Сторона, решившая расторгнуть настоящий Договор, должна направить письменное уведомление о намерении расторгнуть настоящий Договор другой Стороне не позднее чем за 10 рабочих дней до предполагаемого дня расторжения настоящего Договора</w:t>
      </w:r>
      <w:r>
        <w:rPr>
          <w:rFonts w:cs="Arial" w:ascii="Arial" w:hAnsi="Arial"/>
          <w:color w:val="000000"/>
          <w:sz w:val="20"/>
          <w:szCs w:val="20"/>
          <w:lang w:eastAsia="ru-RU"/>
        </w:rPr>
        <w:t>.</w:t>
      </w:r>
    </w:p>
    <w:p>
      <w:pPr>
        <w:pStyle w:val="13"/>
        <w:spacing w:before="280" w:after="280"/>
        <w:rPr/>
      </w:pPr>
      <w:r>
        <w:rPr/>
        <w:t>9. Прочие условия</w:t>
      </w:r>
    </w:p>
    <w:p>
      <w:pPr>
        <w:pStyle w:val="Normal"/>
        <w:spacing w:lineRule="auto" w:line="240" w:beforeAutospacing="1" w:afterAutospacing="1"/>
        <w:rPr>
          <w:rFonts w:ascii="Times" w:hAnsi="Times"/>
          <w:sz w:val="20"/>
          <w:szCs w:val="20"/>
          <w:lang w:eastAsia="ru-RU"/>
        </w:rPr>
      </w:pPr>
      <w:r>
        <w:rPr>
          <w:rFonts w:cs="Arial" w:ascii="Arial" w:hAnsi="Arial"/>
          <w:color w:val="000000"/>
          <w:sz w:val="20"/>
          <w:szCs w:val="20"/>
          <w:lang w:eastAsia="ru-RU"/>
        </w:rPr>
        <w:t xml:space="preserve">9.1. </w:t>
      </w:r>
      <w:r>
        <w:rPr>
          <w:rFonts w:cs="Arial" w:ascii="Arial" w:hAnsi="Arial"/>
          <w:color w:val="000000"/>
          <w:sz w:val="20"/>
          <w:szCs w:val="20"/>
        </w:rPr>
        <w:t>Настоящий Договор вступает в действие с даты подписания и действует до полного исполнения Сторонами своих обязательств по договору</w:t>
      </w:r>
      <w:r>
        <w:rPr>
          <w:rFonts w:cs="Arial" w:ascii="Arial" w:hAnsi="Arial"/>
          <w:color w:val="000000"/>
          <w:sz w:val="20"/>
          <w:szCs w:val="20"/>
          <w:lang w:eastAsia="ru-RU"/>
        </w:rPr>
        <w:t>.</w:t>
      </w:r>
    </w:p>
    <w:p>
      <w:pPr>
        <w:pStyle w:val="Normal"/>
        <w:spacing w:lineRule="auto" w:line="240" w:beforeAutospacing="1" w:afterAutospacing="1"/>
        <w:rPr>
          <w:rFonts w:ascii="Times" w:hAnsi="Times"/>
          <w:sz w:val="20"/>
          <w:szCs w:val="20"/>
          <w:lang w:eastAsia="ru-RU"/>
        </w:rPr>
      </w:pPr>
      <w:r>
        <w:rPr>
          <w:rFonts w:cs="Arial" w:ascii="Arial" w:hAnsi="Arial"/>
          <w:color w:val="000000"/>
          <w:sz w:val="20"/>
          <w:szCs w:val="20"/>
          <w:lang w:eastAsia="ru-RU"/>
        </w:rPr>
        <w:t>9.2. В случае изменения у какой-либо из Сторон местонахождения, названия, банковских реквизитов и прочего она обязана в течение 10 (десяти) дней письменно известить об этом другую Сторону, причем в письме необходимо указать, что оно является неотъемлемой частью настоящего Договора.</w:t>
      </w:r>
    </w:p>
    <w:p>
      <w:pPr>
        <w:pStyle w:val="Normal"/>
        <w:spacing w:lineRule="auto" w:line="240" w:beforeAutospacing="1" w:afterAutospacing="1"/>
        <w:rPr>
          <w:rFonts w:ascii="Times" w:hAnsi="Times"/>
          <w:sz w:val="20"/>
          <w:szCs w:val="20"/>
          <w:lang w:eastAsia="ru-RU"/>
        </w:rPr>
      </w:pPr>
      <w:r>
        <w:rPr>
          <w:rFonts w:cs="Arial" w:ascii="Arial" w:hAnsi="Arial"/>
          <w:color w:val="000000"/>
          <w:sz w:val="20"/>
          <w:szCs w:val="20"/>
          <w:lang w:eastAsia="ru-RU"/>
        </w:rPr>
        <w:t>9.3. Настоящий Договор составлен в двух экземплярах, имеющих одинаковую юридическую силу, по одному экземпляру для каждой из Сторон.</w:t>
      </w:r>
    </w:p>
    <w:p>
      <w:pPr>
        <w:pStyle w:val="ListParagraph"/>
        <w:numPr>
          <w:ilvl w:val="1"/>
          <w:numId w:val="1"/>
        </w:numPr>
        <w:spacing w:lineRule="auto" w:line="240" w:beforeAutospacing="1" w:afterAutospacing="1"/>
        <w:contextualSpacing/>
        <w:rPr>
          <w:rFonts w:ascii="Times" w:hAnsi="Times"/>
          <w:sz w:val="20"/>
          <w:szCs w:val="20"/>
          <w:lang w:eastAsia="ru-RU"/>
        </w:rPr>
      </w:pPr>
      <w:r>
        <w:rPr>
          <w:rFonts w:cs="Arial" w:ascii="Arial" w:hAnsi="Arial"/>
          <w:color w:val="000000"/>
          <w:sz w:val="20"/>
          <w:szCs w:val="20"/>
          <w:lang w:eastAsia="ru-RU"/>
        </w:rPr>
        <w:t>Следующие приложения являются неотъемлемой частью настоящего Договора:</w:t>
      </w:r>
    </w:p>
    <w:p>
      <w:pPr>
        <w:pStyle w:val="Normal"/>
        <w:spacing w:lineRule="auto" w:line="240" w:beforeAutospacing="1" w:afterAutospacing="1"/>
        <w:ind w:left="709" w:hanging="0"/>
        <w:rPr>
          <w:rFonts w:ascii="Times" w:hAnsi="Times"/>
          <w:sz w:val="20"/>
          <w:szCs w:val="20"/>
          <w:lang w:eastAsia="ru-RU"/>
        </w:rPr>
      </w:pPr>
      <w:r>
        <w:rPr>
          <w:rFonts w:cs="Arial" w:ascii="Arial" w:hAnsi="Arial"/>
          <w:color w:val="000000"/>
          <w:sz w:val="20"/>
          <w:szCs w:val="20"/>
          <w:lang w:eastAsia="ru-RU"/>
        </w:rPr>
        <w:t xml:space="preserve">Приложение 1. </w:t>
      </w:r>
      <w:r>
        <w:rPr>
          <w:rFonts w:cs="Arial" w:ascii="Arial" w:hAnsi="Arial"/>
          <w:sz w:val="20"/>
          <w:szCs w:val="20"/>
        </w:rPr>
        <w:t xml:space="preserve">Локальный сметный расчет 1 (одном) </w:t>
      </w:r>
      <w:r>
        <w:rPr>
          <w:rFonts w:cs="Arial" w:ascii="Arial" w:hAnsi="Arial"/>
          <w:color w:val="000000"/>
          <w:sz w:val="20"/>
          <w:szCs w:val="20"/>
        </w:rPr>
        <w:t>листе</w:t>
      </w:r>
      <w:r>
        <w:rPr>
          <w:rFonts w:cs="Arial" w:ascii="Arial" w:hAnsi="Arial"/>
          <w:color w:val="000000"/>
          <w:sz w:val="20"/>
          <w:szCs w:val="20"/>
          <w:lang w:eastAsia="ru-RU"/>
        </w:rPr>
        <w:t>.</w:t>
      </w:r>
    </w:p>
    <w:p>
      <w:pPr>
        <w:pStyle w:val="Normal"/>
        <w:spacing w:lineRule="auto" w:line="240" w:beforeAutospacing="1" w:afterAutospacing="1"/>
        <w:rPr/>
      </w:pPr>
      <w:r>
        <w:rPr>
          <w:rFonts w:cs="Arial" w:ascii="Arial" w:hAnsi="Arial"/>
          <w:color w:val="000000"/>
          <w:sz w:val="20"/>
          <w:szCs w:val="20"/>
          <w:lang w:eastAsia="ru-RU"/>
        </w:rPr>
        <w:t>9.5. Вопросы, не урегулированные настоящим Договором, разрешаются в соответствии с действующим законодательством Российской Федерации.</w:t>
      </w:r>
      <w:r>
        <w:rPr/>
        <w:t xml:space="preserve"> </w:t>
      </w:r>
    </w:p>
    <w:p>
      <w:pPr>
        <w:pStyle w:val="NormalWeb"/>
        <w:spacing w:before="280" w:after="280"/>
        <w:jc w:val="center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10. Реквизиты и подписи сторон</w:t>
      </w:r>
    </w:p>
    <w:tbl>
      <w:tblPr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643"/>
        <w:gridCol w:w="426"/>
        <w:gridCol w:w="4502"/>
      </w:tblGrid>
      <w:tr>
        <w:trPr/>
        <w:tc>
          <w:tcPr>
            <w:tcW w:w="4643" w:type="dxa"/>
            <w:tcBorders/>
            <w:shd w:color="auto" w:fill="auto" w:val="clear"/>
          </w:tcPr>
          <w:p>
            <w:pPr>
              <w:pStyle w:val="NormalWeb"/>
              <w:widowControl w:val="false"/>
              <w:spacing w:beforeAutospacing="0" w:before="0" w:after="0"/>
              <w:rPr>
                <w:rFonts w:ascii="Arial" w:hAnsi="Arial" w:cs="Arial"/>
                <w:b/>
                <w:b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Подрядчик</w:t>
            </w:r>
            <w:r>
              <w:rPr>
                <w:rFonts w:cs="Arial" w:ascii="Arial" w:hAnsi="Arial"/>
                <w:b/>
                <w:sz w:val="20"/>
                <w:szCs w:val="20"/>
                <w:lang w:val="en-US"/>
              </w:rPr>
              <w:t>:</w:t>
            </w:r>
          </w:p>
        </w:tc>
        <w:tc>
          <w:tcPr>
            <w:tcW w:w="426" w:type="dxa"/>
            <w:tcBorders/>
            <w:shd w:color="auto" w:fill="auto" w:val="clear"/>
          </w:tcPr>
          <w:p>
            <w:pPr>
              <w:pStyle w:val="NormalWeb"/>
              <w:widowControl w:val="false"/>
              <w:spacing w:beforeAutospacing="0" w:before="0" w:after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sz w:val="20"/>
                <w:szCs w:val="20"/>
                <w:lang w:val="en-US"/>
              </w:rPr>
            </w:r>
          </w:p>
        </w:tc>
        <w:tc>
          <w:tcPr>
            <w:tcW w:w="4502" w:type="dxa"/>
            <w:tcBorders/>
            <w:shd w:color="auto" w:fill="auto" w:val="clear"/>
          </w:tcPr>
          <w:p>
            <w:pPr>
              <w:pStyle w:val="NormalWeb"/>
              <w:widowControl w:val="false"/>
              <w:spacing w:beforeAutospacing="0" w:before="0" w:after="0"/>
              <w:rPr>
                <w:rFonts w:ascii="Arial" w:hAnsi="Arial" w:cs="Arial"/>
                <w:b/>
                <w:b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Заказчик</w:t>
            </w:r>
            <w:r>
              <w:rPr>
                <w:rFonts w:cs="Arial" w:ascii="Arial" w:hAnsi="Arial"/>
                <w:b/>
                <w:sz w:val="20"/>
                <w:szCs w:val="20"/>
                <w:lang w:val="en-US"/>
              </w:rPr>
              <w:t>:</w:t>
            </w:r>
          </w:p>
        </w:tc>
      </w:tr>
      <w:tr>
        <w:trPr/>
        <w:tc>
          <w:tcPr>
            <w:tcW w:w="4643" w:type="dxa"/>
            <w:tcBorders/>
            <w:shd w:color="auto" w:fill="auto" w:val="clear"/>
          </w:tcPr>
          <w:p>
            <w:pPr>
              <w:pStyle w:val="NoSpacing"/>
              <w:widowControl w:val="false"/>
              <w:spacing w:beforeAutospacing="1" w:after="0"/>
              <w:rPr>
                <w:rFonts w:eastAsia="Times New Roman" w:cs="Arial"/>
                <w:szCs w:val="20"/>
                <w:highlight w:val="yellow"/>
                <w:lang w:eastAsia="ru-RU"/>
              </w:rPr>
            </w:pPr>
            <w:r>
              <w:rPr>
                <w:rFonts w:eastAsia="Times New Roman" w:cs="Arial"/>
                <w:szCs w:val="20"/>
                <w:lang w:eastAsia="ru-RU"/>
              </w:rPr>
              <w:t>Общество с ограниченной ответственностью "КЛАСС ТЕЛЕКОМ"</w:t>
            </w:r>
          </w:p>
        </w:tc>
        <w:tc>
          <w:tcPr>
            <w:tcW w:w="426" w:type="dxa"/>
            <w:tcBorders/>
            <w:shd w:color="auto" w:fill="auto" w:val="clear"/>
          </w:tcPr>
          <w:p>
            <w:pPr>
              <w:pStyle w:val="NormalWeb"/>
              <w:widowControl w:val="false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4502" w:type="dxa"/>
            <w:tcBorders/>
            <w:shd w:color="auto" w:fill="auto" w:val="clear"/>
          </w:tcPr>
          <w:p>
            <w:pPr>
              <w:pStyle w:val="NoSpacing"/>
              <w:widowControl w:val="false"/>
              <w:spacing w:beforeAutospacing="1" w:after="0"/>
              <w:rPr>
                <w:rFonts w:eastAsia="Times New Roman" w:cs="Arial"/>
                <w:szCs w:val="20"/>
                <w:highlight w:val="green"/>
                <w:lang w:eastAsia="ru-RU"/>
              </w:rPr>
            </w:pPr>
            <w:r>
              <w:rPr>
                <w:rFonts w:eastAsia="Times New Roman" w:cs="Arial"/>
                <w:szCs w:val="20"/>
                <w:highlight w:val="green"/>
                <w:lang w:eastAsia="ru-RU"/>
              </w:rPr>
            </w:r>
          </w:p>
        </w:tc>
      </w:tr>
      <w:tr>
        <w:trPr/>
        <w:tc>
          <w:tcPr>
            <w:tcW w:w="4643" w:type="dxa"/>
            <w:tcBorders/>
            <w:shd w:color="auto" w:fill="auto" w:val="clear"/>
          </w:tcPr>
          <w:p>
            <w:pPr>
              <w:pStyle w:val="NoSpacing"/>
              <w:widowControl w:val="false"/>
              <w:spacing w:beforeAutospacing="1" w:after="0"/>
              <w:rPr>
                <w:rFonts w:eastAsia="Times New Roman" w:cs="Arial"/>
                <w:b/>
                <w:b/>
                <w:color w:val="669606"/>
                <w:szCs w:val="20"/>
                <w:lang w:eastAsia="ru-RU"/>
              </w:rPr>
            </w:pPr>
            <w:r>
              <w:rPr>
                <w:rFonts w:cs="Arial"/>
                <w:color w:val="000000"/>
                <w:szCs w:val="20"/>
              </w:rPr>
              <w:t>Адрес:</w:t>
            </w:r>
            <w:r>
              <w:rPr>
                <w:rFonts w:eastAsia="Times New Roman" w:cs="Arial"/>
                <w:b/>
                <w:color w:val="669606"/>
                <w:szCs w:val="20"/>
                <w:lang w:eastAsia="ru-RU"/>
              </w:rPr>
              <w:t xml:space="preserve"> </w:t>
            </w:r>
            <w:r>
              <w:rPr>
                <w:rFonts w:eastAsia="Times New Roman" w:cs="Arial"/>
                <w:szCs w:val="20"/>
                <w:lang w:eastAsia="ru-RU"/>
              </w:rPr>
              <w:t>192019, Санкт-Петербург г, Седова ул, 5, А, 5-Н</w:t>
            </w:r>
          </w:p>
        </w:tc>
        <w:tc>
          <w:tcPr>
            <w:tcW w:w="426" w:type="dxa"/>
            <w:tcBorders/>
            <w:shd w:color="auto" w:fill="auto" w:val="clear"/>
          </w:tcPr>
          <w:p>
            <w:pPr>
              <w:pStyle w:val="NormalWeb"/>
              <w:widowControl w:val="false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4502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sz w:val="20"/>
                <w:szCs w:val="20"/>
                <w:lang w:val="en-US"/>
              </w:rPr>
            </w:r>
          </w:p>
        </w:tc>
      </w:tr>
      <w:tr>
        <w:trPr/>
        <w:tc>
          <w:tcPr>
            <w:tcW w:w="4643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 xml:space="preserve">ИНН: </w:t>
            </w: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7810335826</w:t>
            </w:r>
          </w:p>
        </w:tc>
        <w:tc>
          <w:tcPr>
            <w:tcW w:w="426" w:type="dxa"/>
            <w:tcBorders/>
            <w:shd w:color="auto" w:fill="auto" w:val="clear"/>
          </w:tcPr>
          <w:p>
            <w:pPr>
              <w:pStyle w:val="NormalWeb"/>
              <w:widowControl w:val="false"/>
              <w:spacing w:before="0" w:after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sz w:val="20"/>
                <w:szCs w:val="20"/>
                <w:lang w:val="en-US"/>
              </w:rPr>
            </w:r>
          </w:p>
        </w:tc>
        <w:tc>
          <w:tcPr>
            <w:tcW w:w="4502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sz w:val="20"/>
                <w:szCs w:val="20"/>
                <w:lang w:val="en-US"/>
              </w:rPr>
            </w:r>
          </w:p>
        </w:tc>
      </w:tr>
      <w:tr>
        <w:trPr/>
        <w:tc>
          <w:tcPr>
            <w:tcW w:w="4643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КПП</w:t>
            </w:r>
            <w:r>
              <w:rPr>
                <w:rFonts w:cs="Arial" w:ascii="Arial" w:hAnsi="Arial"/>
                <w:color w:val="000000"/>
                <w:sz w:val="20"/>
                <w:szCs w:val="20"/>
                <w:lang w:val="en-US"/>
              </w:rPr>
              <w:t xml:space="preserve">: </w:t>
            </w: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781101001</w:t>
            </w:r>
          </w:p>
        </w:tc>
        <w:tc>
          <w:tcPr>
            <w:tcW w:w="426" w:type="dxa"/>
            <w:tcBorders/>
            <w:shd w:color="auto" w:fill="auto" w:val="clear"/>
          </w:tcPr>
          <w:p>
            <w:pPr>
              <w:pStyle w:val="NormalWeb"/>
              <w:widowControl w:val="false"/>
              <w:spacing w:before="0" w:after="0"/>
              <w:rPr>
                <w:rFonts w:ascii="Arial" w:hAnsi="Arial" w:cs="Arial"/>
                <w:i/>
                <w:i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i/>
                <w:sz w:val="20"/>
                <w:szCs w:val="20"/>
                <w:lang w:val="en-US"/>
              </w:rPr>
            </w:r>
          </w:p>
        </w:tc>
        <w:tc>
          <w:tcPr>
            <w:tcW w:w="4502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sz w:val="20"/>
                <w:szCs w:val="20"/>
                <w:lang w:val="en-US"/>
              </w:rPr>
            </w:r>
          </w:p>
        </w:tc>
      </w:tr>
      <w:tr>
        <w:trPr/>
        <w:tc>
          <w:tcPr>
            <w:tcW w:w="4643" w:type="dxa"/>
            <w:tcBorders/>
            <w:shd w:color="auto" w:fill="auto" w:val="clear"/>
          </w:tcPr>
          <w:p>
            <w:pPr>
              <w:pStyle w:val="NormalWeb"/>
              <w:widowControl w:val="false"/>
              <w:spacing w:before="0" w:after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Р/с</w:t>
            </w:r>
            <w:r>
              <w:rPr>
                <w:rFonts w:cs="Arial" w:ascii="Arial" w:hAnsi="Arial"/>
                <w:color w:val="000000"/>
                <w:sz w:val="20"/>
                <w:szCs w:val="20"/>
                <w:lang w:val="en-US"/>
              </w:rPr>
              <w:t xml:space="preserve">: </w:t>
            </w:r>
            <w:r>
              <w:rPr>
                <w:rFonts w:cs="Arial" w:ascii="Arial" w:hAnsi="Arial"/>
                <w:sz w:val="20"/>
                <w:szCs w:val="20"/>
              </w:rPr>
              <w:t>40702810432410002874</w:t>
            </w:r>
          </w:p>
        </w:tc>
        <w:tc>
          <w:tcPr>
            <w:tcW w:w="426" w:type="dxa"/>
            <w:tcBorders/>
            <w:shd w:color="auto" w:fill="auto" w:val="clear"/>
          </w:tcPr>
          <w:p>
            <w:pPr>
              <w:pStyle w:val="NormalWeb"/>
              <w:widowControl w:val="false"/>
              <w:spacing w:beforeAutospacing="0" w:before="0" w:after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sz w:val="20"/>
                <w:szCs w:val="20"/>
                <w:lang w:val="en-US"/>
              </w:rPr>
            </w:r>
          </w:p>
        </w:tc>
        <w:tc>
          <w:tcPr>
            <w:tcW w:w="4502" w:type="dxa"/>
            <w:tcBorders/>
            <w:shd w:color="auto" w:fill="auto" w:val="clear"/>
          </w:tcPr>
          <w:p>
            <w:pPr>
              <w:pStyle w:val="NormalWeb"/>
              <w:widowControl w:val="false"/>
              <w:spacing w:before="0" w:after="0"/>
              <w:rPr>
                <w:rFonts w:ascii="Arial" w:hAnsi="Arial" w:cs="Arial"/>
                <w:sz w:val="20"/>
                <w:szCs w:val="20"/>
                <w:highlight w:val="green"/>
              </w:rPr>
            </w:pPr>
            <w:r>
              <w:rPr>
                <w:rFonts w:cs="Arial" w:ascii="Arial" w:hAnsi="Arial"/>
                <w:sz w:val="20"/>
                <w:szCs w:val="20"/>
                <w:highlight w:val="green"/>
              </w:rPr>
            </w:r>
          </w:p>
        </w:tc>
      </w:tr>
      <w:tr>
        <w:trPr/>
        <w:tc>
          <w:tcPr>
            <w:tcW w:w="4643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 xml:space="preserve">Банк: </w:t>
            </w: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ФИЛИАЛ "САНКТ-ПЕТЕРБУРГСКИЙ" АО "АЛЬФА-БАНК"</w:t>
            </w:r>
          </w:p>
        </w:tc>
        <w:tc>
          <w:tcPr>
            <w:tcW w:w="426" w:type="dxa"/>
            <w:tcBorders/>
            <w:shd w:color="auto" w:fill="auto" w:val="clear"/>
          </w:tcPr>
          <w:p>
            <w:pPr>
              <w:pStyle w:val="NormalWeb"/>
              <w:widowControl w:val="false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4502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4643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Корр/с</w:t>
            </w:r>
            <w:r>
              <w:rPr>
                <w:rFonts w:cs="Arial" w:ascii="Arial" w:hAnsi="Arial"/>
                <w:color w:val="000000"/>
                <w:sz w:val="20"/>
                <w:szCs w:val="20"/>
                <w:lang w:val="en-US"/>
              </w:rPr>
              <w:t xml:space="preserve">: </w:t>
            </w: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30101810600000000786</w:t>
            </w:r>
          </w:p>
        </w:tc>
        <w:tc>
          <w:tcPr>
            <w:tcW w:w="426" w:type="dxa"/>
            <w:tcBorders/>
            <w:shd w:color="auto" w:fill="auto" w:val="clear"/>
          </w:tcPr>
          <w:p>
            <w:pPr>
              <w:pStyle w:val="NormalWeb"/>
              <w:widowControl w:val="false"/>
              <w:spacing w:before="0" w:after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sz w:val="20"/>
                <w:szCs w:val="20"/>
                <w:lang w:val="en-US"/>
              </w:rPr>
            </w:r>
          </w:p>
        </w:tc>
        <w:tc>
          <w:tcPr>
            <w:tcW w:w="4502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643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БИК</w:t>
            </w:r>
            <w:r>
              <w:rPr>
                <w:rFonts w:cs="Arial" w:ascii="Arial" w:hAnsi="Arial"/>
                <w:color w:val="000000"/>
                <w:sz w:val="20"/>
                <w:szCs w:val="20"/>
                <w:lang w:val="en-US"/>
              </w:rPr>
              <w:t xml:space="preserve">: </w:t>
            </w: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044030786</w:t>
            </w:r>
          </w:p>
        </w:tc>
        <w:tc>
          <w:tcPr>
            <w:tcW w:w="426" w:type="dxa"/>
            <w:tcBorders/>
            <w:shd w:color="auto" w:fill="auto" w:val="clear"/>
          </w:tcPr>
          <w:p>
            <w:pPr>
              <w:pStyle w:val="NormalWeb"/>
              <w:widowControl w:val="false"/>
              <w:spacing w:before="0" w:after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sz w:val="20"/>
                <w:szCs w:val="20"/>
                <w:lang w:val="en-US"/>
              </w:rPr>
            </w:r>
          </w:p>
        </w:tc>
        <w:tc>
          <w:tcPr>
            <w:tcW w:w="4502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643" w:type="dxa"/>
            <w:tcBorders/>
            <w:shd w:color="auto" w:fill="auto" w:val="clear"/>
          </w:tcPr>
          <w:p>
            <w:pPr>
              <w:pStyle w:val="NormalWeb"/>
              <w:widowControl w:val="false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Телефон</w:t>
            </w:r>
            <w:r>
              <w:rPr>
                <w:rFonts w:cs="Arial" w:ascii="Arial" w:hAnsi="Arial"/>
                <w:sz w:val="20"/>
                <w:szCs w:val="20"/>
                <w:lang w:val="en-US"/>
              </w:rPr>
              <w:t xml:space="preserve">: </w:t>
            </w:r>
            <w:r>
              <w:rPr>
                <w:rFonts w:cs="Arial" w:ascii="Arial" w:hAnsi="Arial"/>
                <w:sz w:val="20"/>
                <w:szCs w:val="20"/>
              </w:rPr>
              <w:t>+78122416020</w:t>
            </w:r>
          </w:p>
        </w:tc>
        <w:tc>
          <w:tcPr>
            <w:tcW w:w="426" w:type="dxa"/>
            <w:tcBorders/>
            <w:shd w:color="auto" w:fill="auto" w:val="clear"/>
          </w:tcPr>
          <w:p>
            <w:pPr>
              <w:pStyle w:val="NormalWeb"/>
              <w:widowControl w:val="false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4502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643" w:type="dxa"/>
            <w:tcBorders/>
            <w:shd w:color="auto" w:fill="auto" w:val="clear"/>
          </w:tcPr>
          <w:p>
            <w:pPr>
              <w:pStyle w:val="NormalWeb"/>
              <w:widowControl w:val="false"/>
              <w:spacing w:before="0" w:after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sz w:val="20"/>
                <w:szCs w:val="20"/>
                <w:lang w:val="en-US"/>
              </w:rPr>
              <w:t>E-mail: info@klasstelecom.ru</w:t>
            </w:r>
          </w:p>
        </w:tc>
        <w:tc>
          <w:tcPr>
            <w:tcW w:w="426" w:type="dxa"/>
            <w:tcBorders/>
            <w:shd w:color="auto" w:fill="auto" w:val="clear"/>
          </w:tcPr>
          <w:p>
            <w:pPr>
              <w:pStyle w:val="NormalWeb"/>
              <w:widowControl w:val="false"/>
              <w:spacing w:before="0" w:after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sz w:val="20"/>
                <w:szCs w:val="20"/>
                <w:lang w:val="en-US"/>
              </w:rPr>
            </w:r>
          </w:p>
        </w:tc>
        <w:tc>
          <w:tcPr>
            <w:tcW w:w="4502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en-US" w:eastAsia="ru-RU"/>
              </w:rPr>
            </w:r>
          </w:p>
        </w:tc>
      </w:tr>
      <w:tr>
        <w:trPr>
          <w:trHeight w:val="737" w:hRule="atLeast"/>
        </w:trPr>
        <w:tc>
          <w:tcPr>
            <w:tcW w:w="4643" w:type="dxa"/>
            <w:tcBorders/>
            <w:shd w:color="auto" w:fill="auto" w:val="clear"/>
            <w:vAlign w:val="bottom"/>
          </w:tcPr>
          <w:p>
            <w:pPr>
              <w:pStyle w:val="NormalWeb"/>
              <w:widowControl w:val="false"/>
              <w:spacing w:before="0" w:after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sz w:val="20"/>
                <w:szCs w:val="20"/>
              </w:rPr>
              <w:t>_______________/Кореш О.В./</w:t>
            </w:r>
          </w:p>
        </w:tc>
        <w:tc>
          <w:tcPr>
            <w:tcW w:w="426" w:type="dxa"/>
            <w:tcBorders/>
            <w:shd w:color="auto" w:fill="auto" w:val="clear"/>
            <w:vAlign w:val="bottom"/>
          </w:tcPr>
          <w:p>
            <w:pPr>
              <w:pStyle w:val="NormalWeb"/>
              <w:widowControl w:val="false"/>
              <w:spacing w:before="0" w:after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sz w:val="20"/>
                <w:szCs w:val="20"/>
                <w:lang w:val="en-US"/>
              </w:rPr>
            </w:r>
          </w:p>
        </w:tc>
        <w:tc>
          <w:tcPr>
            <w:tcW w:w="4502" w:type="dxa"/>
            <w:tcBorders/>
            <w:shd w:color="auto" w:fill="auto" w:val="clear"/>
            <w:vAlign w:val="bottom"/>
          </w:tcPr>
          <w:p>
            <w:pPr>
              <w:pStyle w:val="NormalWeb"/>
              <w:widowControl w:val="false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737" w:hRule="atLeast"/>
        </w:trPr>
        <w:tc>
          <w:tcPr>
            <w:tcW w:w="5069" w:type="dxa"/>
            <w:gridSpan w:val="2"/>
            <w:tcBorders/>
            <w:shd w:color="auto" w:fill="auto" w:val="clear"/>
            <w:vAlign w:val="bottom"/>
          </w:tcPr>
          <w:p>
            <w:pPr>
              <w:pStyle w:val="NormalWeb"/>
              <w:widowControl w:val="false"/>
              <w:spacing w:beforeAutospacing="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М.П.</w:t>
            </w:r>
          </w:p>
        </w:tc>
        <w:tc>
          <w:tcPr>
            <w:tcW w:w="4502" w:type="dxa"/>
            <w:tcBorders/>
            <w:shd w:color="auto" w:fill="auto" w:val="clear"/>
            <w:vAlign w:val="bottom"/>
          </w:tcPr>
          <w:p>
            <w:pPr>
              <w:pStyle w:val="NormalWeb"/>
              <w:widowControl w:val="false"/>
              <w:spacing w:beforeAutospacing="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М.П.</w:t>
            </w:r>
          </w:p>
        </w:tc>
      </w:tr>
    </w:tbl>
    <w:p>
      <w:pPr>
        <w:pStyle w:val="NormalWeb"/>
        <w:spacing w:beforeAutospacing="0" w:before="0" w:after="28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0"/>
          <w:szCs w:val="20"/>
          <w:lang w:eastAsia="ru-RU"/>
        </w:rPr>
      </w:pPr>
      <w:r>
        <w:rPr>
          <w:rFonts w:eastAsia="Times New Roman" w:cs="Arial" w:ascii="Arial" w:hAnsi="Arial"/>
          <w:sz w:val="20"/>
          <w:szCs w:val="20"/>
          <w:lang w:eastAsia="ru-RU"/>
        </w:rPr>
      </w:r>
      <w:r>
        <w:br w:type="page"/>
      </w:r>
    </w:p>
    <w:p>
      <w:pPr>
        <w:pStyle w:val="Normal"/>
        <w:jc w:val="right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Приложение №1</w:t>
      </w:r>
    </w:p>
    <w:p>
      <w:pPr>
        <w:pStyle w:val="NormalWeb"/>
        <w:spacing w:beforeAutospacing="0" w:before="0" w:after="280"/>
        <w:jc w:val="right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к Договору подряда №_______ от __.04.2024г.</w:t>
      </w:r>
    </w:p>
    <w:p>
      <w:pPr>
        <w:pStyle w:val="NormalWeb"/>
        <w:spacing w:beforeAutospacing="0" w:before="0" w:after="280"/>
        <w:jc w:val="center"/>
        <w:rPr>
          <w:rFonts w:ascii="Arial" w:hAnsi="Arial" w:cs="Arial"/>
          <w:b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>Локальный сметный расчет</w:t>
      </w:r>
    </w:p>
    <w:tbl>
      <w:tblPr>
        <w:tblW w:w="10820" w:type="dxa"/>
        <w:jc w:val="left"/>
        <w:tblInd w:w="-116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60"/>
        <w:gridCol w:w="5539"/>
        <w:gridCol w:w="1200"/>
        <w:gridCol w:w="700"/>
        <w:gridCol w:w="1280"/>
        <w:gridCol w:w="1440"/>
      </w:tblGrid>
      <w:tr>
        <w:trPr>
          <w:trHeight w:val="280" w:hRule="atLeast"/>
        </w:trPr>
        <w:tc>
          <w:tcPr>
            <w:tcW w:w="108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 Narrow" w:hAnsi="Arial Narrow" w:cs="Calibri"/>
                <w:b/>
                <w:b/>
                <w:bCs/>
                <w:sz w:val="20"/>
                <w:szCs w:val="20"/>
              </w:rPr>
            </w:pPr>
            <w:r>
              <w:rPr>
                <w:rFonts w:cs="Calibri" w:ascii="Arial Narrow" w:hAnsi="Arial Narrow"/>
                <w:b/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Arial Narrow" w:hAnsi="Arial Narrow" w:cs="Calibri"/>
                <w:b/>
                <w:b/>
                <w:bCs/>
                <w:sz w:val="20"/>
                <w:szCs w:val="20"/>
              </w:rPr>
            </w:pPr>
            <w:r>
              <w:rPr>
                <w:rFonts w:cs="Calibri" w:ascii="Arial Narrow" w:hAnsi="Arial Narrow"/>
                <w:b/>
                <w:bCs/>
                <w:sz w:val="20"/>
                <w:szCs w:val="20"/>
              </w:rPr>
              <w:t xml:space="preserve">Постановка и монтаж системы контроля и управления доступом на объекте </w:t>
            </w:r>
          </w:p>
        </w:tc>
      </w:tr>
      <w:tr>
        <w:trPr>
          <w:trHeight w:val="280" w:hRule="atLeast"/>
        </w:trPr>
        <w:tc>
          <w:tcPr>
            <w:tcW w:w="108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al Narrow" w:hAnsi="Arial Narrow" w:cs="Calibri"/>
                <w:b/>
                <w:b/>
                <w:bCs/>
                <w:sz w:val="20"/>
                <w:szCs w:val="20"/>
              </w:rPr>
            </w:pPr>
            <w:r>
              <w:rPr>
                <w:rFonts w:cs="Calibri" w:ascii="Arial Narrow" w:hAnsi="Arial Narrow"/>
                <w:b/>
                <w:bCs/>
                <w:sz w:val="20"/>
                <w:szCs w:val="20"/>
              </w:rPr>
            </w:r>
          </w:p>
        </w:tc>
      </w:tr>
      <w:tr>
        <w:trPr>
          <w:trHeight w:val="900" w:hRule="atLeast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cs="Calibri" w:ascii="Arial Narrow" w:hAnsi="Arial Narrow"/>
                <w:color w:val="000000"/>
                <w:sz w:val="20"/>
                <w:szCs w:val="20"/>
              </w:rPr>
              <w:t xml:space="preserve">№ </w:t>
            </w:r>
            <w:r>
              <w:rPr>
                <w:rFonts w:cs="Calibri" w:ascii="Arial Narrow" w:hAnsi="Arial Narrow"/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5539" w:type="dxa"/>
            <w:tcBorders>
              <w:bottom w:val="single" w:sz="4" w:space="0" w:color="000000"/>
              <w:right w:val="single" w:sz="4" w:space="0" w:color="000000"/>
            </w:tcBorders>
            <w:shd w:color="000000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cs="Calibri" w:ascii="Arial Narrow" w:hAnsi="Arial Narrow"/>
                <w:sz w:val="20"/>
                <w:szCs w:val="20"/>
              </w:rPr>
              <w:t>Наименование работ и затрат</w:t>
            </w:r>
          </w:p>
        </w:tc>
        <w:tc>
          <w:tcPr>
            <w:tcW w:w="1200" w:type="dxa"/>
            <w:tcBorders>
              <w:bottom w:val="single" w:sz="4" w:space="0" w:color="000000"/>
              <w:right w:val="single" w:sz="4" w:space="0" w:color="000000"/>
            </w:tcBorders>
            <w:shd w:color="000000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cs="Calibri" w:ascii="Arial Narrow" w:hAnsi="Arial Narrow"/>
                <w:sz w:val="20"/>
                <w:szCs w:val="20"/>
              </w:rPr>
              <w:t>Единица измерения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000000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cs="Calibri" w:ascii="Arial Narrow" w:hAnsi="Arial Narrow"/>
                <w:sz w:val="20"/>
                <w:szCs w:val="20"/>
              </w:rPr>
              <w:t>Кол-во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000000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cs="Calibri" w:ascii="Arial Narrow" w:hAnsi="Arial Narrow"/>
                <w:sz w:val="20"/>
                <w:szCs w:val="20"/>
              </w:rPr>
              <w:t>Стоимость на единицу, руб.</w:t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shd w:color="000000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cs="Calibri" w:ascii="Arial Narrow" w:hAnsi="Arial Narrow"/>
                <w:sz w:val="20"/>
                <w:szCs w:val="20"/>
              </w:rPr>
              <w:t>Общая стоимость, руб.</w:t>
            </w:r>
          </w:p>
        </w:tc>
      </w:tr>
      <w:tr>
        <w:trPr>
          <w:trHeight w:val="280" w:hRule="atLeast"/>
        </w:trPr>
        <w:tc>
          <w:tcPr>
            <w:tcW w:w="660" w:type="dxa"/>
            <w:tcBorders>
              <w:left w:val="single" w:sz="4" w:space="0" w:color="000000"/>
              <w:right w:val="single" w:sz="4" w:space="0" w:color="000000"/>
            </w:tcBorders>
            <w:shd w:color="000000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cs="Calibri"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39" w:type="dxa"/>
            <w:tcBorders>
              <w:right w:val="single" w:sz="4" w:space="0" w:color="000000"/>
            </w:tcBorders>
            <w:shd w:color="000000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cs="Calibri"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1200" w:type="dxa"/>
            <w:tcBorders>
              <w:right w:val="single" w:sz="4" w:space="0" w:color="000000"/>
            </w:tcBorders>
            <w:shd w:color="000000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cs="Calibri" w:ascii="Arial Narrow" w:hAnsi="Arial Narrow"/>
                <w:sz w:val="20"/>
                <w:szCs w:val="20"/>
              </w:rPr>
              <w:t>4</w:t>
            </w:r>
          </w:p>
        </w:tc>
        <w:tc>
          <w:tcPr>
            <w:tcW w:w="700" w:type="dxa"/>
            <w:tcBorders>
              <w:right w:val="single" w:sz="4" w:space="0" w:color="000000"/>
            </w:tcBorders>
            <w:shd w:color="000000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cs="Calibri" w:ascii="Arial Narrow" w:hAnsi="Arial Narrow"/>
                <w:sz w:val="20"/>
                <w:szCs w:val="20"/>
              </w:rPr>
              <w:t>5</w:t>
            </w:r>
          </w:p>
        </w:tc>
        <w:tc>
          <w:tcPr>
            <w:tcW w:w="1280" w:type="dxa"/>
            <w:tcBorders>
              <w:right w:val="single" w:sz="4" w:space="0" w:color="000000"/>
            </w:tcBorders>
            <w:shd w:color="000000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cs="Calibri" w:ascii="Arial Narrow" w:hAnsi="Arial Narrow"/>
                <w:sz w:val="20"/>
                <w:szCs w:val="20"/>
              </w:rPr>
              <w:t>6</w:t>
            </w:r>
          </w:p>
        </w:tc>
        <w:tc>
          <w:tcPr>
            <w:tcW w:w="1440" w:type="dxa"/>
            <w:tcBorders>
              <w:right w:val="single" w:sz="4" w:space="0" w:color="000000"/>
            </w:tcBorders>
            <w:shd w:color="000000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cs="Calibri" w:ascii="Arial Narrow" w:hAnsi="Arial Narrow"/>
                <w:sz w:val="20"/>
                <w:szCs w:val="20"/>
              </w:rPr>
              <w:t>7</w:t>
            </w:r>
          </w:p>
        </w:tc>
      </w:tr>
      <w:tr>
        <w:trPr>
          <w:trHeight w:val="280" w:hRule="atLeast"/>
        </w:trPr>
        <w:tc>
          <w:tcPr>
            <w:tcW w:w="108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Arial Narrow" w:hAnsi="Arial Narrow" w:cs="Calibri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 w:ascii="Arial Narrow" w:hAnsi="Arial Narrow"/>
                <w:b/>
                <w:bCs/>
                <w:color w:val="000000"/>
                <w:sz w:val="20"/>
                <w:szCs w:val="20"/>
              </w:rPr>
              <w:t>Раздел № 1. Проектно-изыскательские работы</w:t>
            </w:r>
          </w:p>
        </w:tc>
      </w:tr>
      <w:tr>
        <w:trPr>
          <w:trHeight w:val="280" w:hRule="atLeast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cs="Calibri"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5539" w:type="dxa"/>
            <w:tcBorders>
              <w:bottom w:val="single" w:sz="4" w:space="0" w:color="000000"/>
              <w:right w:val="single" w:sz="4" w:space="0" w:color="000000"/>
            </w:tcBorders>
            <w:shd w:color="000000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cs="Calibri"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bottom w:val="single" w:sz="4" w:space="0" w:color="000000"/>
              <w:right w:val="single" w:sz="4" w:space="0" w:color="000000"/>
            </w:tcBorders>
            <w:shd w:color="000000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cs="Calibri"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000000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cs="Calibri"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000000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cs="Calibri"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shd w:color="000000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cs="Calibri" w:ascii="Arial Narrow" w:hAnsi="Arial Narrow"/>
                <w:sz w:val="20"/>
                <w:szCs w:val="20"/>
              </w:rPr>
            </w:r>
          </w:p>
        </w:tc>
      </w:tr>
      <w:tr>
        <w:trPr>
          <w:trHeight w:val="280" w:hRule="atLeast"/>
        </w:trPr>
        <w:tc>
          <w:tcPr>
            <w:tcW w:w="10819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Arial Narrow" w:hAnsi="Arial Narrow" w:cs="Calibri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 w:ascii="Arial Narrow" w:hAnsi="Arial Narrow"/>
                <w:b/>
                <w:bCs/>
                <w:color w:val="000000"/>
                <w:sz w:val="20"/>
                <w:szCs w:val="20"/>
              </w:rPr>
              <w:t>Раздел № 2. Оборудование</w:t>
            </w:r>
          </w:p>
        </w:tc>
      </w:tr>
      <w:tr>
        <w:trPr>
          <w:trHeight w:val="320" w:hRule="atLeast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cs="Calibri"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55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200"/>
              <w:outlineLvl w:val="0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cs="Calibri" w:ascii="Arial Narrow" w:hAnsi="Arial Narrow"/>
                <w:sz w:val="20"/>
                <w:szCs w:val="20"/>
              </w:rPr>
            </w:r>
          </w:p>
        </w:tc>
        <w:tc>
          <w:tcPr>
            <w:tcW w:w="12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200"/>
              <w:jc w:val="center"/>
              <w:outlineLvl w:val="0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cs="Calibri" w:ascii="Arial Narrow" w:hAnsi="Arial Narrow"/>
                <w:sz w:val="20"/>
                <w:szCs w:val="20"/>
              </w:rPr>
            </w:r>
          </w:p>
        </w:tc>
        <w:tc>
          <w:tcPr>
            <w:tcW w:w="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200"/>
              <w:jc w:val="center"/>
              <w:outlineLvl w:val="0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cs="Calibri" w:ascii="Arial Narrow" w:hAnsi="Arial Narrow"/>
                <w:sz w:val="20"/>
                <w:szCs w:val="20"/>
              </w:rPr>
            </w:r>
          </w:p>
        </w:tc>
        <w:tc>
          <w:tcPr>
            <w:tcW w:w="12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200"/>
              <w:jc w:val="center"/>
              <w:outlineLvl w:val="0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cs="Calibri" w:ascii="Arial Narrow" w:hAnsi="Arial Narrow"/>
                <w:sz w:val="20"/>
                <w:szCs w:val="20"/>
              </w:rPr>
            </w: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200"/>
              <w:jc w:val="center"/>
              <w:outlineLvl w:val="0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cs="Calibri" w:ascii="Arial Narrow" w:hAnsi="Arial Narrow"/>
                <w:sz w:val="20"/>
                <w:szCs w:val="20"/>
              </w:rPr>
            </w:r>
          </w:p>
        </w:tc>
      </w:tr>
      <w:tr>
        <w:trPr>
          <w:trHeight w:val="320" w:hRule="atLeast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cs="Calibri"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55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200"/>
              <w:outlineLvl w:val="0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cs="Calibri" w:ascii="Arial Narrow" w:hAnsi="Arial Narrow"/>
                <w:sz w:val="20"/>
                <w:szCs w:val="20"/>
              </w:rPr>
            </w:r>
          </w:p>
        </w:tc>
        <w:tc>
          <w:tcPr>
            <w:tcW w:w="12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200"/>
              <w:jc w:val="center"/>
              <w:outlineLvl w:val="0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cs="Calibri" w:ascii="Arial Narrow" w:hAnsi="Arial Narrow"/>
                <w:sz w:val="20"/>
                <w:szCs w:val="20"/>
              </w:rPr>
            </w:r>
          </w:p>
        </w:tc>
        <w:tc>
          <w:tcPr>
            <w:tcW w:w="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200"/>
              <w:jc w:val="center"/>
              <w:outlineLvl w:val="0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cs="Calibri" w:ascii="Arial Narrow" w:hAnsi="Arial Narrow"/>
                <w:sz w:val="20"/>
                <w:szCs w:val="20"/>
              </w:rPr>
            </w:r>
          </w:p>
        </w:tc>
        <w:tc>
          <w:tcPr>
            <w:tcW w:w="12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200"/>
              <w:jc w:val="center"/>
              <w:outlineLvl w:val="0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cs="Calibri" w:ascii="Arial Narrow" w:hAnsi="Arial Narrow"/>
                <w:sz w:val="20"/>
                <w:szCs w:val="20"/>
              </w:rPr>
            </w: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200"/>
              <w:jc w:val="center"/>
              <w:outlineLvl w:val="0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cs="Calibri" w:ascii="Arial Narrow" w:hAnsi="Arial Narrow"/>
                <w:sz w:val="20"/>
                <w:szCs w:val="20"/>
              </w:rPr>
            </w:r>
          </w:p>
        </w:tc>
      </w:tr>
      <w:tr>
        <w:trPr>
          <w:trHeight w:val="320" w:hRule="atLeast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cs="Calibri" w:ascii="Arial Narrow" w:hAnsi="Arial Narrow"/>
                <w:sz w:val="20"/>
                <w:szCs w:val="20"/>
              </w:rPr>
              <w:t>4</w:t>
            </w:r>
          </w:p>
        </w:tc>
        <w:tc>
          <w:tcPr>
            <w:tcW w:w="55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200"/>
              <w:outlineLvl w:val="0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cs="Calibri" w:ascii="Arial Narrow" w:hAnsi="Arial Narrow"/>
                <w:sz w:val="20"/>
                <w:szCs w:val="20"/>
              </w:rPr>
            </w:r>
          </w:p>
        </w:tc>
        <w:tc>
          <w:tcPr>
            <w:tcW w:w="12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200"/>
              <w:jc w:val="center"/>
              <w:outlineLvl w:val="0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cs="Calibri" w:ascii="Arial Narrow" w:hAnsi="Arial Narrow"/>
                <w:sz w:val="20"/>
                <w:szCs w:val="20"/>
              </w:rPr>
            </w:r>
          </w:p>
        </w:tc>
        <w:tc>
          <w:tcPr>
            <w:tcW w:w="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200"/>
              <w:jc w:val="center"/>
              <w:outlineLvl w:val="0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cs="Calibri" w:ascii="Arial Narrow" w:hAnsi="Arial Narrow"/>
                <w:sz w:val="20"/>
                <w:szCs w:val="20"/>
              </w:rPr>
            </w:r>
          </w:p>
        </w:tc>
        <w:tc>
          <w:tcPr>
            <w:tcW w:w="12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200"/>
              <w:jc w:val="center"/>
              <w:outlineLvl w:val="0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cs="Calibri" w:ascii="Arial Narrow" w:hAnsi="Arial Narrow"/>
                <w:sz w:val="20"/>
                <w:szCs w:val="20"/>
              </w:rPr>
            </w: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200"/>
              <w:jc w:val="center"/>
              <w:outlineLvl w:val="0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cs="Calibri" w:ascii="Arial Narrow" w:hAnsi="Arial Narrow"/>
                <w:sz w:val="20"/>
                <w:szCs w:val="20"/>
              </w:rPr>
            </w:r>
          </w:p>
        </w:tc>
      </w:tr>
      <w:tr>
        <w:trPr>
          <w:trHeight w:val="320" w:hRule="atLeast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cs="Calibri" w:ascii="Arial Narrow" w:hAnsi="Arial Narrow"/>
                <w:sz w:val="20"/>
                <w:szCs w:val="20"/>
              </w:rPr>
              <w:t>5</w:t>
            </w:r>
          </w:p>
        </w:tc>
        <w:tc>
          <w:tcPr>
            <w:tcW w:w="55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200"/>
              <w:outlineLvl w:val="0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cs="Calibri" w:ascii="Arial Narrow" w:hAnsi="Arial Narrow"/>
                <w:sz w:val="20"/>
                <w:szCs w:val="20"/>
              </w:rPr>
            </w:r>
          </w:p>
        </w:tc>
        <w:tc>
          <w:tcPr>
            <w:tcW w:w="12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200"/>
              <w:jc w:val="center"/>
              <w:outlineLvl w:val="0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cs="Calibri" w:ascii="Arial Narrow" w:hAnsi="Arial Narrow"/>
                <w:sz w:val="20"/>
                <w:szCs w:val="20"/>
              </w:rPr>
            </w:r>
          </w:p>
        </w:tc>
        <w:tc>
          <w:tcPr>
            <w:tcW w:w="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200"/>
              <w:jc w:val="center"/>
              <w:outlineLvl w:val="0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cs="Calibri" w:ascii="Arial Narrow" w:hAnsi="Arial Narrow"/>
                <w:sz w:val="20"/>
                <w:szCs w:val="20"/>
              </w:rPr>
            </w:r>
          </w:p>
        </w:tc>
        <w:tc>
          <w:tcPr>
            <w:tcW w:w="12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200"/>
              <w:jc w:val="center"/>
              <w:outlineLvl w:val="0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cs="Calibri" w:ascii="Arial Narrow" w:hAnsi="Arial Narrow"/>
                <w:sz w:val="20"/>
                <w:szCs w:val="20"/>
              </w:rPr>
            </w: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200"/>
              <w:jc w:val="center"/>
              <w:outlineLvl w:val="0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cs="Calibri" w:ascii="Arial Narrow" w:hAnsi="Arial Narrow"/>
                <w:sz w:val="20"/>
                <w:szCs w:val="20"/>
              </w:rPr>
            </w:r>
          </w:p>
        </w:tc>
      </w:tr>
      <w:tr>
        <w:trPr>
          <w:trHeight w:val="320" w:hRule="atLeast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cs="Calibri" w:ascii="Arial Narrow" w:hAnsi="Arial Narrow"/>
                <w:sz w:val="20"/>
                <w:szCs w:val="20"/>
              </w:rPr>
              <w:t>6</w:t>
            </w:r>
          </w:p>
        </w:tc>
        <w:tc>
          <w:tcPr>
            <w:tcW w:w="55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200"/>
              <w:outlineLvl w:val="0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cs="Calibri" w:ascii="Arial Narrow" w:hAnsi="Arial Narrow"/>
                <w:sz w:val="20"/>
                <w:szCs w:val="20"/>
              </w:rPr>
            </w:r>
          </w:p>
        </w:tc>
        <w:tc>
          <w:tcPr>
            <w:tcW w:w="12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200"/>
              <w:jc w:val="center"/>
              <w:outlineLvl w:val="0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cs="Calibri" w:ascii="Arial Narrow" w:hAnsi="Arial Narrow"/>
                <w:sz w:val="20"/>
                <w:szCs w:val="20"/>
              </w:rPr>
            </w:r>
          </w:p>
        </w:tc>
        <w:tc>
          <w:tcPr>
            <w:tcW w:w="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200"/>
              <w:jc w:val="center"/>
              <w:outlineLvl w:val="0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cs="Calibri" w:ascii="Arial Narrow" w:hAnsi="Arial Narrow"/>
                <w:sz w:val="20"/>
                <w:szCs w:val="20"/>
              </w:rPr>
            </w:r>
          </w:p>
        </w:tc>
        <w:tc>
          <w:tcPr>
            <w:tcW w:w="12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200"/>
              <w:jc w:val="center"/>
              <w:outlineLvl w:val="0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cs="Calibri" w:ascii="Arial Narrow" w:hAnsi="Arial Narrow"/>
                <w:sz w:val="20"/>
                <w:szCs w:val="20"/>
              </w:rPr>
            </w: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200"/>
              <w:jc w:val="center"/>
              <w:outlineLvl w:val="0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cs="Calibri" w:ascii="Arial Narrow" w:hAnsi="Arial Narrow"/>
                <w:sz w:val="20"/>
                <w:szCs w:val="20"/>
              </w:rPr>
            </w:r>
          </w:p>
        </w:tc>
      </w:tr>
      <w:tr>
        <w:trPr>
          <w:trHeight w:val="320" w:hRule="atLeast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cs="Calibri" w:ascii="Arial Narrow" w:hAnsi="Arial Narrow"/>
                <w:sz w:val="20"/>
                <w:szCs w:val="20"/>
              </w:rPr>
              <w:t>7</w:t>
            </w:r>
          </w:p>
        </w:tc>
        <w:tc>
          <w:tcPr>
            <w:tcW w:w="55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200"/>
              <w:outlineLvl w:val="0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cs="Calibri" w:ascii="Arial Narrow" w:hAnsi="Arial Narrow"/>
                <w:sz w:val="20"/>
                <w:szCs w:val="20"/>
              </w:rPr>
            </w:r>
          </w:p>
        </w:tc>
        <w:tc>
          <w:tcPr>
            <w:tcW w:w="12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200"/>
              <w:jc w:val="center"/>
              <w:outlineLvl w:val="0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cs="Calibri" w:ascii="Arial Narrow" w:hAnsi="Arial Narrow"/>
                <w:sz w:val="20"/>
                <w:szCs w:val="20"/>
              </w:rPr>
            </w:r>
          </w:p>
        </w:tc>
        <w:tc>
          <w:tcPr>
            <w:tcW w:w="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200"/>
              <w:jc w:val="center"/>
              <w:outlineLvl w:val="0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cs="Calibri" w:ascii="Arial Narrow" w:hAnsi="Arial Narrow"/>
                <w:sz w:val="20"/>
                <w:szCs w:val="20"/>
              </w:rPr>
            </w:r>
          </w:p>
        </w:tc>
        <w:tc>
          <w:tcPr>
            <w:tcW w:w="12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200"/>
              <w:jc w:val="center"/>
              <w:outlineLvl w:val="0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cs="Calibri" w:ascii="Arial Narrow" w:hAnsi="Arial Narrow"/>
                <w:sz w:val="20"/>
                <w:szCs w:val="20"/>
              </w:rPr>
            </w: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200"/>
              <w:jc w:val="center"/>
              <w:outlineLvl w:val="0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cs="Calibri" w:ascii="Arial Narrow" w:hAnsi="Arial Narrow"/>
                <w:sz w:val="20"/>
                <w:szCs w:val="20"/>
              </w:rPr>
            </w:r>
          </w:p>
        </w:tc>
      </w:tr>
      <w:tr>
        <w:trPr>
          <w:trHeight w:val="320" w:hRule="atLeast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cs="Calibri" w:ascii="Arial Narrow" w:hAnsi="Arial Narrow"/>
                <w:sz w:val="20"/>
                <w:szCs w:val="20"/>
              </w:rPr>
              <w:t>8</w:t>
            </w:r>
          </w:p>
        </w:tc>
        <w:tc>
          <w:tcPr>
            <w:tcW w:w="55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200"/>
              <w:outlineLvl w:val="0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cs="Calibri" w:ascii="Arial Narrow" w:hAnsi="Arial Narrow"/>
                <w:sz w:val="20"/>
                <w:szCs w:val="20"/>
              </w:rPr>
            </w:r>
          </w:p>
        </w:tc>
        <w:tc>
          <w:tcPr>
            <w:tcW w:w="12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200"/>
              <w:jc w:val="center"/>
              <w:outlineLvl w:val="0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cs="Calibri" w:ascii="Arial Narrow" w:hAnsi="Arial Narrow"/>
                <w:sz w:val="20"/>
                <w:szCs w:val="20"/>
              </w:rPr>
            </w:r>
          </w:p>
        </w:tc>
        <w:tc>
          <w:tcPr>
            <w:tcW w:w="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200"/>
              <w:jc w:val="center"/>
              <w:outlineLvl w:val="0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cs="Calibri" w:ascii="Arial Narrow" w:hAnsi="Arial Narrow"/>
                <w:sz w:val="20"/>
                <w:szCs w:val="20"/>
              </w:rPr>
            </w:r>
          </w:p>
        </w:tc>
        <w:tc>
          <w:tcPr>
            <w:tcW w:w="12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200"/>
              <w:jc w:val="center"/>
              <w:outlineLvl w:val="0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cs="Calibri" w:ascii="Arial Narrow" w:hAnsi="Arial Narrow"/>
                <w:sz w:val="20"/>
                <w:szCs w:val="20"/>
              </w:rPr>
            </w: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200"/>
              <w:jc w:val="center"/>
              <w:outlineLvl w:val="0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cs="Calibri" w:ascii="Arial Narrow" w:hAnsi="Arial Narrow"/>
                <w:sz w:val="20"/>
                <w:szCs w:val="20"/>
              </w:rPr>
            </w:r>
          </w:p>
        </w:tc>
      </w:tr>
      <w:tr>
        <w:trPr>
          <w:trHeight w:val="320" w:hRule="atLeast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cs="Calibri" w:ascii="Arial Narrow" w:hAnsi="Arial Narrow"/>
                <w:sz w:val="20"/>
                <w:szCs w:val="20"/>
              </w:rPr>
              <w:t>9</w:t>
            </w:r>
          </w:p>
        </w:tc>
        <w:tc>
          <w:tcPr>
            <w:tcW w:w="55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200"/>
              <w:outlineLvl w:val="0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cs="Calibri" w:ascii="Arial Narrow" w:hAnsi="Arial Narrow"/>
                <w:sz w:val="20"/>
                <w:szCs w:val="20"/>
              </w:rPr>
            </w:r>
          </w:p>
        </w:tc>
        <w:tc>
          <w:tcPr>
            <w:tcW w:w="12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200"/>
              <w:jc w:val="center"/>
              <w:outlineLvl w:val="0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cs="Calibri" w:ascii="Arial Narrow" w:hAnsi="Arial Narrow"/>
                <w:sz w:val="20"/>
                <w:szCs w:val="20"/>
              </w:rPr>
            </w:r>
          </w:p>
        </w:tc>
        <w:tc>
          <w:tcPr>
            <w:tcW w:w="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200"/>
              <w:jc w:val="center"/>
              <w:outlineLvl w:val="0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cs="Calibri" w:ascii="Arial Narrow" w:hAnsi="Arial Narrow"/>
                <w:sz w:val="20"/>
                <w:szCs w:val="20"/>
              </w:rPr>
            </w:r>
          </w:p>
        </w:tc>
        <w:tc>
          <w:tcPr>
            <w:tcW w:w="12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200"/>
              <w:jc w:val="center"/>
              <w:outlineLvl w:val="0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cs="Calibri" w:ascii="Arial Narrow" w:hAnsi="Arial Narrow"/>
                <w:sz w:val="20"/>
                <w:szCs w:val="20"/>
              </w:rPr>
            </w: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200"/>
              <w:jc w:val="center"/>
              <w:outlineLvl w:val="0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cs="Calibri" w:ascii="Arial Narrow" w:hAnsi="Arial Narrow"/>
                <w:sz w:val="20"/>
                <w:szCs w:val="20"/>
              </w:rPr>
            </w:r>
          </w:p>
        </w:tc>
      </w:tr>
      <w:tr>
        <w:trPr>
          <w:trHeight w:val="320" w:hRule="atLeast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cs="Calibri" w:ascii="Arial Narrow" w:hAnsi="Arial Narrow"/>
                <w:sz w:val="20"/>
                <w:szCs w:val="20"/>
              </w:rPr>
              <w:t>10</w:t>
            </w:r>
          </w:p>
        </w:tc>
        <w:tc>
          <w:tcPr>
            <w:tcW w:w="55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200"/>
              <w:outlineLvl w:val="0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cs="Calibri" w:ascii="Arial Narrow" w:hAnsi="Arial Narrow"/>
                <w:sz w:val="20"/>
                <w:szCs w:val="20"/>
              </w:rPr>
            </w:r>
          </w:p>
        </w:tc>
        <w:tc>
          <w:tcPr>
            <w:tcW w:w="12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200"/>
              <w:jc w:val="center"/>
              <w:outlineLvl w:val="0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cs="Calibri" w:ascii="Arial Narrow" w:hAnsi="Arial Narrow"/>
                <w:sz w:val="20"/>
                <w:szCs w:val="20"/>
              </w:rPr>
            </w:r>
          </w:p>
        </w:tc>
        <w:tc>
          <w:tcPr>
            <w:tcW w:w="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200"/>
              <w:jc w:val="center"/>
              <w:outlineLvl w:val="0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cs="Calibri" w:ascii="Arial Narrow" w:hAnsi="Arial Narrow"/>
                <w:sz w:val="20"/>
                <w:szCs w:val="20"/>
              </w:rPr>
            </w:r>
          </w:p>
        </w:tc>
        <w:tc>
          <w:tcPr>
            <w:tcW w:w="12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200"/>
              <w:jc w:val="center"/>
              <w:outlineLvl w:val="0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cs="Calibri" w:ascii="Arial Narrow" w:hAnsi="Arial Narrow"/>
                <w:sz w:val="20"/>
                <w:szCs w:val="20"/>
              </w:rPr>
            </w: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200"/>
              <w:jc w:val="center"/>
              <w:outlineLvl w:val="0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cs="Calibri" w:ascii="Arial Narrow" w:hAnsi="Arial Narrow"/>
                <w:sz w:val="20"/>
                <w:szCs w:val="20"/>
              </w:rPr>
            </w:r>
          </w:p>
        </w:tc>
      </w:tr>
      <w:tr>
        <w:trPr>
          <w:trHeight w:val="320" w:hRule="atLeast"/>
        </w:trPr>
        <w:tc>
          <w:tcPr>
            <w:tcW w:w="10819" w:type="dxa"/>
            <w:gridSpan w:val="6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Arial Narrow" w:hAnsi="Arial Narrow" w:cs="Calibri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 w:ascii="Arial Narrow" w:hAnsi="Arial Narrow"/>
                <w:b/>
                <w:bCs/>
                <w:color w:val="000000"/>
                <w:sz w:val="20"/>
                <w:szCs w:val="20"/>
              </w:rPr>
              <w:t>Раздел № 3. Монтажные работы</w:t>
            </w:r>
          </w:p>
        </w:tc>
      </w:tr>
      <w:tr>
        <w:trPr>
          <w:trHeight w:val="320" w:hRule="atLeast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cs="Calibri" w:ascii="Arial Narrow" w:hAnsi="Arial Narrow"/>
                <w:sz w:val="20"/>
                <w:szCs w:val="20"/>
              </w:rPr>
              <w:t>11</w:t>
            </w:r>
          </w:p>
        </w:tc>
        <w:tc>
          <w:tcPr>
            <w:tcW w:w="55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200"/>
              <w:outlineLvl w:val="0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cs="Calibri" w:ascii="Arial Narrow" w:hAnsi="Arial Narrow"/>
                <w:sz w:val="20"/>
                <w:szCs w:val="20"/>
              </w:rPr>
            </w:r>
          </w:p>
        </w:tc>
        <w:tc>
          <w:tcPr>
            <w:tcW w:w="12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200"/>
              <w:jc w:val="center"/>
              <w:outlineLvl w:val="0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cs="Calibri" w:ascii="Arial Narrow" w:hAnsi="Arial Narrow"/>
                <w:sz w:val="20"/>
                <w:szCs w:val="20"/>
              </w:rPr>
            </w:r>
          </w:p>
        </w:tc>
        <w:tc>
          <w:tcPr>
            <w:tcW w:w="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200"/>
              <w:jc w:val="center"/>
              <w:outlineLvl w:val="0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cs="Calibri" w:ascii="Arial Narrow" w:hAnsi="Arial Narrow"/>
                <w:sz w:val="20"/>
                <w:szCs w:val="20"/>
              </w:rPr>
            </w:r>
          </w:p>
        </w:tc>
        <w:tc>
          <w:tcPr>
            <w:tcW w:w="12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200"/>
              <w:jc w:val="center"/>
              <w:outlineLvl w:val="0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cs="Calibri" w:ascii="Arial Narrow" w:hAnsi="Arial Narrow"/>
                <w:sz w:val="20"/>
                <w:szCs w:val="20"/>
              </w:rPr>
            </w: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200"/>
              <w:jc w:val="center"/>
              <w:outlineLvl w:val="0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cs="Calibri" w:ascii="Arial Narrow" w:hAnsi="Arial Narrow"/>
                <w:sz w:val="20"/>
                <w:szCs w:val="20"/>
              </w:rPr>
            </w:r>
          </w:p>
        </w:tc>
      </w:tr>
      <w:tr>
        <w:trPr>
          <w:trHeight w:val="320" w:hRule="atLeast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cs="Calibri" w:ascii="Arial Narrow" w:hAnsi="Arial Narrow"/>
                <w:sz w:val="20"/>
                <w:szCs w:val="20"/>
              </w:rPr>
              <w:t>12</w:t>
            </w:r>
          </w:p>
        </w:tc>
        <w:tc>
          <w:tcPr>
            <w:tcW w:w="55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200"/>
              <w:outlineLvl w:val="0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cs="Calibri" w:ascii="Arial Narrow" w:hAnsi="Arial Narrow"/>
                <w:sz w:val="20"/>
                <w:szCs w:val="20"/>
              </w:rPr>
            </w:r>
          </w:p>
        </w:tc>
        <w:tc>
          <w:tcPr>
            <w:tcW w:w="12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200"/>
              <w:jc w:val="center"/>
              <w:outlineLvl w:val="0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cs="Calibri" w:ascii="Arial Narrow" w:hAnsi="Arial Narrow"/>
                <w:sz w:val="20"/>
                <w:szCs w:val="20"/>
              </w:rPr>
            </w:r>
          </w:p>
        </w:tc>
        <w:tc>
          <w:tcPr>
            <w:tcW w:w="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200"/>
              <w:jc w:val="center"/>
              <w:outlineLvl w:val="0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cs="Calibri" w:ascii="Arial Narrow" w:hAnsi="Arial Narrow"/>
                <w:sz w:val="20"/>
                <w:szCs w:val="20"/>
              </w:rPr>
            </w:r>
          </w:p>
        </w:tc>
        <w:tc>
          <w:tcPr>
            <w:tcW w:w="12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200"/>
              <w:jc w:val="center"/>
              <w:outlineLvl w:val="0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cs="Calibri" w:ascii="Arial Narrow" w:hAnsi="Arial Narrow"/>
                <w:sz w:val="20"/>
                <w:szCs w:val="20"/>
              </w:rPr>
            </w: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200"/>
              <w:jc w:val="center"/>
              <w:outlineLvl w:val="0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cs="Calibri" w:ascii="Arial Narrow" w:hAnsi="Arial Narrow"/>
                <w:sz w:val="20"/>
                <w:szCs w:val="20"/>
              </w:rPr>
            </w:r>
          </w:p>
        </w:tc>
      </w:tr>
      <w:tr>
        <w:trPr>
          <w:trHeight w:val="320" w:hRule="atLeast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cs="Calibri" w:ascii="Arial Narrow" w:hAnsi="Arial Narrow"/>
                <w:sz w:val="20"/>
                <w:szCs w:val="20"/>
              </w:rPr>
              <w:t>13</w:t>
            </w:r>
          </w:p>
        </w:tc>
        <w:tc>
          <w:tcPr>
            <w:tcW w:w="55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200"/>
              <w:outlineLvl w:val="0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cs="Calibri" w:ascii="Arial Narrow" w:hAnsi="Arial Narrow"/>
                <w:sz w:val="20"/>
                <w:szCs w:val="20"/>
              </w:rPr>
            </w:r>
          </w:p>
        </w:tc>
        <w:tc>
          <w:tcPr>
            <w:tcW w:w="12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200"/>
              <w:jc w:val="center"/>
              <w:outlineLvl w:val="0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cs="Calibri" w:ascii="Arial Narrow" w:hAnsi="Arial Narrow"/>
                <w:sz w:val="20"/>
                <w:szCs w:val="20"/>
              </w:rPr>
            </w:r>
          </w:p>
        </w:tc>
        <w:tc>
          <w:tcPr>
            <w:tcW w:w="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200"/>
              <w:jc w:val="center"/>
              <w:outlineLvl w:val="0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cs="Calibri" w:ascii="Arial Narrow" w:hAnsi="Arial Narrow"/>
                <w:sz w:val="20"/>
                <w:szCs w:val="20"/>
              </w:rPr>
            </w:r>
          </w:p>
        </w:tc>
        <w:tc>
          <w:tcPr>
            <w:tcW w:w="12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200"/>
              <w:jc w:val="center"/>
              <w:outlineLvl w:val="0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cs="Calibri" w:ascii="Arial Narrow" w:hAnsi="Arial Narrow"/>
                <w:sz w:val="20"/>
                <w:szCs w:val="20"/>
              </w:rPr>
            </w: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200"/>
              <w:jc w:val="center"/>
              <w:outlineLvl w:val="0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cs="Calibri" w:ascii="Arial Narrow" w:hAnsi="Arial Narrow"/>
                <w:sz w:val="20"/>
                <w:szCs w:val="20"/>
              </w:rPr>
            </w:r>
          </w:p>
        </w:tc>
      </w:tr>
      <w:tr>
        <w:trPr>
          <w:trHeight w:val="320" w:hRule="atLeast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cs="Calibri" w:ascii="Arial Narrow" w:hAnsi="Arial Narrow"/>
                <w:sz w:val="20"/>
                <w:szCs w:val="20"/>
              </w:rPr>
              <w:t>14</w:t>
            </w:r>
          </w:p>
        </w:tc>
        <w:tc>
          <w:tcPr>
            <w:tcW w:w="55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200"/>
              <w:outlineLvl w:val="0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cs="Calibri" w:ascii="Arial Narrow" w:hAnsi="Arial Narrow"/>
                <w:sz w:val="20"/>
                <w:szCs w:val="20"/>
              </w:rPr>
            </w:r>
          </w:p>
        </w:tc>
        <w:tc>
          <w:tcPr>
            <w:tcW w:w="12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200"/>
              <w:jc w:val="center"/>
              <w:outlineLvl w:val="0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cs="Calibri" w:ascii="Arial Narrow" w:hAnsi="Arial Narrow"/>
                <w:sz w:val="20"/>
                <w:szCs w:val="20"/>
              </w:rPr>
            </w:r>
          </w:p>
        </w:tc>
        <w:tc>
          <w:tcPr>
            <w:tcW w:w="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200"/>
              <w:jc w:val="center"/>
              <w:outlineLvl w:val="0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cs="Calibri" w:ascii="Arial Narrow" w:hAnsi="Arial Narrow"/>
                <w:sz w:val="20"/>
                <w:szCs w:val="20"/>
              </w:rPr>
            </w:r>
          </w:p>
        </w:tc>
        <w:tc>
          <w:tcPr>
            <w:tcW w:w="12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200"/>
              <w:jc w:val="center"/>
              <w:outlineLvl w:val="0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cs="Calibri" w:ascii="Arial Narrow" w:hAnsi="Arial Narrow"/>
                <w:sz w:val="20"/>
                <w:szCs w:val="20"/>
              </w:rPr>
            </w: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200"/>
              <w:jc w:val="center"/>
              <w:outlineLvl w:val="0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cs="Calibri" w:ascii="Arial Narrow" w:hAnsi="Arial Narrow"/>
                <w:sz w:val="20"/>
                <w:szCs w:val="20"/>
              </w:rPr>
            </w:r>
          </w:p>
        </w:tc>
      </w:tr>
      <w:tr>
        <w:trPr>
          <w:trHeight w:val="320" w:hRule="atLeast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cs="Calibri" w:ascii="Arial Narrow" w:hAnsi="Arial Narrow"/>
                <w:sz w:val="20"/>
                <w:szCs w:val="20"/>
              </w:rPr>
              <w:t>15</w:t>
            </w:r>
          </w:p>
        </w:tc>
        <w:tc>
          <w:tcPr>
            <w:tcW w:w="55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200"/>
              <w:outlineLvl w:val="0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cs="Calibri" w:ascii="Arial Narrow" w:hAnsi="Arial Narrow"/>
                <w:sz w:val="20"/>
                <w:szCs w:val="20"/>
              </w:rPr>
            </w:r>
          </w:p>
        </w:tc>
        <w:tc>
          <w:tcPr>
            <w:tcW w:w="12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200"/>
              <w:jc w:val="center"/>
              <w:outlineLvl w:val="0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cs="Calibri" w:ascii="Arial Narrow" w:hAnsi="Arial Narrow"/>
                <w:sz w:val="20"/>
                <w:szCs w:val="20"/>
              </w:rPr>
            </w:r>
          </w:p>
        </w:tc>
        <w:tc>
          <w:tcPr>
            <w:tcW w:w="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200"/>
              <w:jc w:val="center"/>
              <w:outlineLvl w:val="0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cs="Calibri" w:ascii="Arial Narrow" w:hAnsi="Arial Narrow"/>
                <w:sz w:val="20"/>
                <w:szCs w:val="20"/>
              </w:rPr>
            </w:r>
          </w:p>
        </w:tc>
        <w:tc>
          <w:tcPr>
            <w:tcW w:w="12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200"/>
              <w:jc w:val="center"/>
              <w:outlineLvl w:val="0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cs="Calibri" w:ascii="Arial Narrow" w:hAnsi="Arial Narrow"/>
                <w:sz w:val="20"/>
                <w:szCs w:val="20"/>
              </w:rPr>
            </w: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200"/>
              <w:jc w:val="center"/>
              <w:outlineLvl w:val="0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cs="Calibri" w:ascii="Arial Narrow" w:hAnsi="Arial Narrow"/>
                <w:sz w:val="20"/>
                <w:szCs w:val="20"/>
              </w:rPr>
            </w:r>
          </w:p>
        </w:tc>
      </w:tr>
      <w:tr>
        <w:trPr>
          <w:trHeight w:val="320" w:hRule="atLeast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cs="Calibri" w:ascii="Arial Narrow" w:hAnsi="Arial Narrow"/>
                <w:sz w:val="20"/>
                <w:szCs w:val="20"/>
              </w:rPr>
              <w:t>16</w:t>
            </w:r>
          </w:p>
        </w:tc>
        <w:tc>
          <w:tcPr>
            <w:tcW w:w="55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200"/>
              <w:outlineLvl w:val="0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cs="Calibri" w:ascii="Arial Narrow" w:hAnsi="Arial Narrow"/>
                <w:sz w:val="20"/>
                <w:szCs w:val="20"/>
              </w:rPr>
            </w:r>
          </w:p>
        </w:tc>
        <w:tc>
          <w:tcPr>
            <w:tcW w:w="12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200"/>
              <w:jc w:val="center"/>
              <w:outlineLvl w:val="0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cs="Calibri" w:ascii="Arial Narrow" w:hAnsi="Arial Narrow"/>
                <w:sz w:val="20"/>
                <w:szCs w:val="20"/>
              </w:rPr>
            </w:r>
          </w:p>
        </w:tc>
        <w:tc>
          <w:tcPr>
            <w:tcW w:w="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200"/>
              <w:jc w:val="center"/>
              <w:outlineLvl w:val="0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cs="Calibri" w:ascii="Arial Narrow" w:hAnsi="Arial Narrow"/>
                <w:sz w:val="20"/>
                <w:szCs w:val="20"/>
              </w:rPr>
            </w:r>
          </w:p>
        </w:tc>
        <w:tc>
          <w:tcPr>
            <w:tcW w:w="12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200"/>
              <w:jc w:val="center"/>
              <w:outlineLvl w:val="0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cs="Calibri" w:ascii="Arial Narrow" w:hAnsi="Arial Narrow"/>
                <w:sz w:val="20"/>
                <w:szCs w:val="20"/>
              </w:rPr>
            </w: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200"/>
              <w:jc w:val="center"/>
              <w:outlineLvl w:val="0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cs="Calibri" w:ascii="Arial Narrow" w:hAnsi="Arial Narrow"/>
                <w:sz w:val="20"/>
                <w:szCs w:val="20"/>
              </w:rPr>
            </w:r>
          </w:p>
        </w:tc>
      </w:tr>
      <w:tr>
        <w:trPr>
          <w:trHeight w:val="320" w:hRule="atLeast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cs="Calibri" w:ascii="Arial Narrow" w:hAnsi="Arial Narrow"/>
                <w:sz w:val="20"/>
                <w:szCs w:val="20"/>
              </w:rPr>
              <w:t>17</w:t>
            </w:r>
          </w:p>
        </w:tc>
        <w:tc>
          <w:tcPr>
            <w:tcW w:w="55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200"/>
              <w:outlineLvl w:val="0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cs="Calibri" w:ascii="Arial Narrow" w:hAnsi="Arial Narrow"/>
                <w:sz w:val="20"/>
                <w:szCs w:val="20"/>
              </w:rPr>
            </w:r>
          </w:p>
        </w:tc>
        <w:tc>
          <w:tcPr>
            <w:tcW w:w="12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200"/>
              <w:jc w:val="center"/>
              <w:outlineLvl w:val="0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cs="Calibri" w:ascii="Arial Narrow" w:hAnsi="Arial Narrow"/>
                <w:sz w:val="20"/>
                <w:szCs w:val="20"/>
              </w:rPr>
            </w:r>
          </w:p>
        </w:tc>
        <w:tc>
          <w:tcPr>
            <w:tcW w:w="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200"/>
              <w:jc w:val="center"/>
              <w:outlineLvl w:val="0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cs="Calibri" w:ascii="Arial Narrow" w:hAnsi="Arial Narrow"/>
                <w:sz w:val="20"/>
                <w:szCs w:val="20"/>
              </w:rPr>
            </w:r>
          </w:p>
        </w:tc>
        <w:tc>
          <w:tcPr>
            <w:tcW w:w="12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200"/>
              <w:jc w:val="center"/>
              <w:outlineLvl w:val="0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cs="Calibri" w:ascii="Arial Narrow" w:hAnsi="Arial Narrow"/>
                <w:sz w:val="20"/>
                <w:szCs w:val="20"/>
              </w:rPr>
            </w: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200"/>
              <w:jc w:val="center"/>
              <w:outlineLvl w:val="0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cs="Calibri" w:ascii="Arial Narrow" w:hAnsi="Arial Narrow"/>
                <w:sz w:val="20"/>
                <w:szCs w:val="20"/>
              </w:rPr>
            </w:r>
          </w:p>
        </w:tc>
      </w:tr>
      <w:tr>
        <w:trPr>
          <w:trHeight w:val="320" w:hRule="atLeast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cs="Calibri" w:ascii="Arial Narrow" w:hAnsi="Arial Narrow"/>
                <w:sz w:val="20"/>
                <w:szCs w:val="20"/>
              </w:rPr>
              <w:t>18</w:t>
            </w:r>
          </w:p>
        </w:tc>
        <w:tc>
          <w:tcPr>
            <w:tcW w:w="55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200"/>
              <w:outlineLvl w:val="0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cs="Calibri" w:ascii="Arial Narrow" w:hAnsi="Arial Narrow"/>
                <w:sz w:val="20"/>
                <w:szCs w:val="20"/>
              </w:rPr>
            </w:r>
          </w:p>
        </w:tc>
        <w:tc>
          <w:tcPr>
            <w:tcW w:w="12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200"/>
              <w:jc w:val="center"/>
              <w:outlineLvl w:val="0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cs="Calibri" w:ascii="Arial Narrow" w:hAnsi="Arial Narrow"/>
                <w:sz w:val="20"/>
                <w:szCs w:val="20"/>
              </w:rPr>
            </w:r>
          </w:p>
        </w:tc>
        <w:tc>
          <w:tcPr>
            <w:tcW w:w="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200"/>
              <w:jc w:val="center"/>
              <w:outlineLvl w:val="0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cs="Calibri" w:ascii="Arial Narrow" w:hAnsi="Arial Narrow"/>
                <w:sz w:val="20"/>
                <w:szCs w:val="20"/>
              </w:rPr>
            </w:r>
          </w:p>
        </w:tc>
        <w:tc>
          <w:tcPr>
            <w:tcW w:w="12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200"/>
              <w:jc w:val="center"/>
              <w:outlineLvl w:val="0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cs="Calibri" w:ascii="Arial Narrow" w:hAnsi="Arial Narrow"/>
                <w:sz w:val="20"/>
                <w:szCs w:val="20"/>
              </w:rPr>
            </w: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200"/>
              <w:jc w:val="center"/>
              <w:outlineLvl w:val="0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cs="Calibri" w:ascii="Arial Narrow" w:hAnsi="Arial Narrow"/>
                <w:sz w:val="20"/>
                <w:szCs w:val="20"/>
              </w:rPr>
            </w:r>
          </w:p>
        </w:tc>
      </w:tr>
      <w:tr>
        <w:trPr>
          <w:trHeight w:val="280" w:hRule="atLeast"/>
        </w:trPr>
        <w:tc>
          <w:tcPr>
            <w:tcW w:w="809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Arial Narrow" w:hAnsi="Arial Narrow" w:cs="Calibri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 w:ascii="Arial Narrow" w:hAnsi="Arial Narrow"/>
                <w:b/>
                <w:bCs/>
                <w:color w:val="000000"/>
                <w:sz w:val="20"/>
                <w:szCs w:val="20"/>
              </w:rPr>
              <w:t>Итого по Разделу №1. Проектно-изыскательские работы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cs="Calibri"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cs="Calibri" w:ascii="Arial Narrow" w:hAnsi="Arial Narrow"/>
                <w:color w:val="000000"/>
                <w:sz w:val="20"/>
                <w:szCs w:val="20"/>
              </w:rPr>
              <w:t>0,00</w:t>
            </w:r>
          </w:p>
        </w:tc>
      </w:tr>
      <w:tr>
        <w:trPr>
          <w:trHeight w:val="280" w:hRule="atLeast"/>
        </w:trPr>
        <w:tc>
          <w:tcPr>
            <w:tcW w:w="80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Arial Narrow" w:hAnsi="Arial Narrow" w:cs="Calibri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 w:ascii="Arial Narrow" w:hAnsi="Arial Narrow"/>
                <w:b/>
                <w:bCs/>
                <w:color w:val="000000"/>
                <w:sz w:val="20"/>
                <w:szCs w:val="20"/>
              </w:rPr>
              <w:t>Итого по Разделу №2. Оборудование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cs="Calibri"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cs="Calibri" w:ascii="Arial Narrow" w:hAnsi="Arial Narrow"/>
                <w:color w:val="000000"/>
                <w:sz w:val="20"/>
                <w:szCs w:val="20"/>
              </w:rPr>
            </w:r>
          </w:p>
        </w:tc>
      </w:tr>
      <w:tr>
        <w:trPr>
          <w:trHeight w:val="280" w:hRule="atLeast"/>
        </w:trPr>
        <w:tc>
          <w:tcPr>
            <w:tcW w:w="80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Arial Narrow" w:hAnsi="Arial Narrow" w:cs="Calibri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 w:ascii="Arial Narrow" w:hAnsi="Arial Narrow"/>
                <w:b/>
                <w:bCs/>
                <w:color w:val="000000"/>
                <w:sz w:val="20"/>
                <w:szCs w:val="20"/>
              </w:rPr>
              <w:t>Итого по Разделу №3. Монтажные работы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cs="Calibri"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cs="Calibri" w:ascii="Arial Narrow" w:hAnsi="Arial Narrow"/>
                <w:color w:val="000000"/>
                <w:sz w:val="20"/>
                <w:szCs w:val="20"/>
              </w:rPr>
            </w:r>
          </w:p>
        </w:tc>
      </w:tr>
      <w:tr>
        <w:trPr>
          <w:trHeight w:val="280" w:hRule="atLeast"/>
        </w:trPr>
        <w:tc>
          <w:tcPr>
            <w:tcW w:w="80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right"/>
              <w:rPr>
                <w:rFonts w:ascii="Arial Narrow" w:hAnsi="Arial Narrow" w:cs="Calibri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 w:ascii="Arial Narrow" w:hAnsi="Arial Narrow"/>
                <w:b/>
                <w:bCs/>
                <w:color w:val="000000"/>
                <w:sz w:val="20"/>
                <w:szCs w:val="20"/>
              </w:rPr>
              <w:t>Итого по смете в руб. (без НДС)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right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cs="Calibri"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Arial Narrow" w:hAnsi="Arial Narrow" w:cs="Calibri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 w:ascii="Arial Narrow" w:hAnsi="Arial Narrow"/>
                <w:b/>
                <w:bCs/>
                <w:color w:val="000000"/>
                <w:sz w:val="20"/>
                <w:szCs w:val="20"/>
              </w:rPr>
            </w:r>
          </w:p>
        </w:tc>
      </w:tr>
      <w:tr>
        <w:trPr>
          <w:trHeight w:val="280" w:hRule="atLeast"/>
        </w:trPr>
        <w:tc>
          <w:tcPr>
            <w:tcW w:w="80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right"/>
              <w:rPr>
                <w:rFonts w:ascii="Arial Narrow" w:hAnsi="Arial Narrow" w:cs="Calibri"/>
                <w:b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cs="Calibri" w:ascii="Arial Narrow" w:hAnsi="Arial Narrow"/>
                <w:b/>
                <w:bCs/>
                <w:color w:val="000000"/>
                <w:sz w:val="20"/>
                <w:szCs w:val="20"/>
              </w:rPr>
              <w:t>НДС 20</w:t>
            </w:r>
            <w:r>
              <w:rPr>
                <w:rFonts w:cs="Calibri" w:ascii="Arial Narrow" w:hAnsi="Arial Narrow"/>
                <w:b/>
                <w:bCs/>
                <w:color w:val="000000"/>
                <w:sz w:val="20"/>
                <w:szCs w:val="20"/>
                <w:lang w:val="en-US"/>
              </w:rPr>
              <w:t>%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cs="Calibri" w:ascii="Arial Narrow" w:hAnsi="Arial Narrow"/>
                <w:sz w:val="20"/>
                <w:szCs w:val="20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Arial Narrow" w:hAnsi="Arial Narrow" w:cs="Calibri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 w:ascii="Arial Narrow" w:hAnsi="Arial Narrow"/>
                <w:b/>
                <w:bCs/>
                <w:color w:val="000000"/>
                <w:sz w:val="20"/>
                <w:szCs w:val="20"/>
              </w:rPr>
            </w:r>
          </w:p>
        </w:tc>
      </w:tr>
      <w:tr>
        <w:trPr>
          <w:trHeight w:val="280" w:hRule="atLeast"/>
        </w:trPr>
        <w:tc>
          <w:tcPr>
            <w:tcW w:w="80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right"/>
              <w:rPr>
                <w:rFonts w:ascii="Arial Narrow" w:hAnsi="Arial Narrow" w:cs="Calibri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 w:ascii="Arial Narrow" w:hAnsi="Arial Narrow"/>
                <w:b/>
                <w:bCs/>
                <w:color w:val="000000"/>
                <w:sz w:val="20"/>
                <w:szCs w:val="20"/>
              </w:rPr>
              <w:t>Итого по смете в руб. (C НДС)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cs="Calibri" w:ascii="Arial Narrow" w:hAnsi="Arial Narrow"/>
                <w:sz w:val="20"/>
                <w:szCs w:val="20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Arial Narrow" w:hAnsi="Arial Narrow" w:cs="Calibri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 w:ascii="Arial Narrow" w:hAnsi="Arial Narrow"/>
                <w:b/>
                <w:bCs/>
                <w:color w:val="000000"/>
                <w:sz w:val="20"/>
                <w:szCs w:val="20"/>
              </w:rPr>
            </w:r>
          </w:p>
        </w:tc>
      </w:tr>
    </w:tbl>
    <w:tbl>
      <w:tblPr>
        <w:tblStyle w:val="842"/>
        <w:tblpPr w:bottomFromText="0" w:horzAnchor="margin" w:leftFromText="180" w:rightFromText="180" w:tblpX="0" w:tblpXSpec="center" w:tblpY="1808" w:topFromText="0" w:vertAnchor="text"/>
        <w:tblW w:w="934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672"/>
        <w:gridCol w:w="4672"/>
      </w:tblGrid>
      <w:tr>
        <w:trPr/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Web"/>
              <w:widowControl/>
              <w:spacing w:beforeAutospacing="0" w:before="0" w:after="28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val="ru-RU" w:bidi="ar-SA"/>
              </w:rPr>
              <w:t>Подрядчик: ООО «КЛАСС ТЕЛЕКОМ.</w:t>
            </w:r>
          </w:p>
          <w:p>
            <w:pPr>
              <w:pStyle w:val="NormalWeb"/>
              <w:widowControl/>
              <w:spacing w:beforeAutospacing="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val="ru-RU" w:bidi="ar-SA"/>
              </w:rPr>
              <w:t>_____________/Кореш О.В./</w:t>
            </w:r>
          </w:p>
        </w:tc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Web"/>
              <w:widowControl/>
              <w:spacing w:beforeAutospacing="0" w:before="0" w:after="28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val="ru-RU" w:bidi="ar-SA"/>
              </w:rPr>
              <w:t xml:space="preserve">Заказчик: </w:t>
            </w:r>
          </w:p>
          <w:p>
            <w:pPr>
              <w:pStyle w:val="NormalWeb"/>
              <w:widowControl/>
              <w:spacing w:beforeAutospacing="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val="ru-RU" w:bidi="ar-SA"/>
              </w:rPr>
            </w:r>
          </w:p>
        </w:tc>
      </w:tr>
    </w:tbl>
    <w:p>
      <w:pPr>
        <w:pStyle w:val="NormalWeb"/>
        <w:spacing w:beforeAutospacing="0" w:before="0" w:after="280"/>
        <w:rPr>
          <w:rFonts w:ascii="Arial" w:hAnsi="Arial" w:cs="Arial"/>
          <w:sz w:val="20"/>
          <w:szCs w:val="20"/>
        </w:rPr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  <w:font w:name="Times">
    <w:altName w:val="Times New Roman"/>
    <w:charset w:val="01"/>
    <w:family w:val="roman"/>
    <w:pitch w:val="variable"/>
  </w:font>
  <w:font w:name="Arial Narrow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9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/>
        <w:color w:val="000000"/>
      </w:rPr>
    </w:lvl>
    <w:lvl w:ilvl="1">
      <w:start w:val="4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ascii="Arial" w:hAnsi="Arial" w:cs="Arial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Arial" w:hAnsi="Arial" w:cs="Arial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ascii="Arial" w:hAnsi="Arial" w:cs="Arial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ascii="Arial" w:hAnsi="Arial" w:cs="Arial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ascii="Arial" w:hAnsi="Arial" w:cs="Arial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ascii="Arial" w:hAnsi="Arial" w:cs="Arial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ascii="Arial" w:hAnsi="Arial" w:cs="Arial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ascii="Arial" w:hAnsi="Arial" w:cs="Arial"/>
        <w:color w:val="000000"/>
      </w:rPr>
    </w:lvl>
  </w:abstractNum>
  <w:abstractNum w:abstractNumId="2"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/>
        <w:color w:val="000000"/>
      </w:rPr>
    </w:lvl>
    <w:lvl w:ilvl="1">
      <w:start w:val="4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ascii="Arial" w:hAnsi="Arial" w:cs="Arial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Arial" w:hAnsi="Arial" w:cs="Arial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ascii="Arial" w:hAnsi="Arial" w:cs="Arial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ascii="Arial" w:hAnsi="Arial" w:cs="Arial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ascii="Arial" w:hAnsi="Arial" w:cs="Arial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ascii="Arial" w:hAnsi="Arial" w:cs="Arial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ascii="Arial" w:hAnsi="Arial" w:cs="Arial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ascii="Arial" w:hAnsi="Arial" w:cs="Arial"/>
        <w:color w:val="000000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2"/>
    <w:lvlOverride w:ilvl="0"/>
    <w:lvlOverride w:ilvl="1">
      <w:startOverride w:val="4"/>
    </w:lvlOverride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ru-RU" w:bidi="ar-SA"/>
    </w:rPr>
  </w:style>
  <w:style w:type="paragraph" w:styleId="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FootnoteTextChar">
    <w:name w:val="Footnote Text Char"/>
    <w:uiPriority w:val="99"/>
    <w:qFormat/>
    <w:rPr>
      <w:sz w:val="18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21" w:customStyle="1">
    <w:name w:val="Заголовок 2 Знак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31" w:customStyle="1">
    <w:name w:val="Заголовок 3 Знак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41" w:customStyle="1">
    <w:name w:val="Заголовок 4 Знак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51" w:customStyle="1">
    <w:name w:val="Заголовок 5 Знак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1" w:customStyle="1">
    <w:name w:val="Заголовок 6 Знак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1" w:customStyle="1">
    <w:name w:val="Заголовок 7 Знак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1" w:customStyle="1">
    <w:name w:val="Заголовок 8 Знак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91" w:customStyle="1">
    <w:name w:val="Заголовок 9 Знак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Style5" w:customStyle="1">
    <w:name w:val="Заголовок Знак"/>
    <w:basedOn w:val="DefaultParagraphFont"/>
    <w:uiPriority w:val="10"/>
    <w:qFormat/>
    <w:rPr>
      <w:sz w:val="48"/>
      <w:szCs w:val="48"/>
    </w:rPr>
  </w:style>
  <w:style w:type="character" w:styleId="Style6" w:customStyle="1">
    <w:name w:val="Подзаголовок Знак"/>
    <w:basedOn w:val="DefaultParagraphFont"/>
    <w:uiPriority w:val="11"/>
    <w:qFormat/>
    <w:rPr>
      <w:sz w:val="24"/>
      <w:szCs w:val="24"/>
    </w:rPr>
  </w:style>
  <w:style w:type="character" w:styleId="22" w:customStyle="1">
    <w:name w:val="Цитата 2 Знак"/>
    <w:uiPriority w:val="29"/>
    <w:qFormat/>
    <w:rPr>
      <w:i/>
    </w:rPr>
  </w:style>
  <w:style w:type="character" w:styleId="Style7" w:customStyle="1">
    <w:name w:val="Выделенная цитата Знак"/>
    <w:uiPriority w:val="30"/>
    <w:qFormat/>
    <w:rPr>
      <w:i/>
    </w:rPr>
  </w:style>
  <w:style w:type="character" w:styleId="Style8" w:customStyle="1">
    <w:name w:val="Верхний колонтитул Знак"/>
    <w:basedOn w:val="DefaultParagraphFont"/>
    <w:uiPriority w:val="99"/>
    <w:qFormat/>
    <w:rPr/>
  </w:style>
  <w:style w:type="character" w:styleId="FooterChar" w:customStyle="1">
    <w:name w:val="Footer Char"/>
    <w:basedOn w:val="DefaultParagraphFont"/>
    <w:uiPriority w:val="99"/>
    <w:qFormat/>
    <w:rPr/>
  </w:style>
  <w:style w:type="character" w:styleId="Style9" w:customStyle="1">
    <w:name w:val="Нижний колонтитул Знак"/>
    <w:uiPriority w:val="99"/>
    <w:qFormat/>
    <w:rPr/>
  </w:style>
  <w:style w:type="character" w:styleId="Style10">
    <w:name w:val="Интернет-ссылка"/>
    <w:uiPriority w:val="99"/>
    <w:unhideWhenUsed/>
    <w:rPr>
      <w:color w:val="0563C1" w:themeColor="hyperlink"/>
      <w:u w:val="single"/>
    </w:rPr>
  </w:style>
  <w:style w:type="character" w:styleId="Style11" w:customStyle="1">
    <w:name w:val="Текст сноски Знак"/>
    <w:uiPriority w:val="99"/>
    <w:qFormat/>
    <w:rPr>
      <w:sz w:val="18"/>
    </w:rPr>
  </w:style>
  <w:style w:type="character" w:styleId="Style12">
    <w:name w:val="Символ сноски"/>
    <w:basedOn w:val="DefaultParagraphFont"/>
    <w:uiPriority w:val="99"/>
    <w:unhideWhenUsed/>
    <w:qFormat/>
    <w:rPr>
      <w:vertAlign w:val="superscript"/>
    </w:rPr>
  </w:style>
  <w:style w:type="character" w:styleId="Style13">
    <w:name w:val="Привязка сноски"/>
    <w:rPr>
      <w:vertAlign w:val="superscript"/>
    </w:rPr>
  </w:style>
  <w:style w:type="character" w:styleId="Style14" w:customStyle="1">
    <w:name w:val="Текст концевой сноски Знак"/>
    <w:uiPriority w:val="99"/>
    <w:qFormat/>
    <w:rPr>
      <w:sz w:val="20"/>
    </w:rPr>
  </w:style>
  <w:style w:type="character" w:styleId="Style15">
    <w:name w:val="Символ концевой сноски"/>
    <w:basedOn w:val="DefaultParagraphFont"/>
    <w:uiPriority w:val="99"/>
    <w:semiHidden/>
    <w:unhideWhenUsed/>
    <w:qFormat/>
    <w:rPr>
      <w:vertAlign w:val="superscript"/>
    </w:rPr>
  </w:style>
  <w:style w:type="character" w:styleId="Style16">
    <w:name w:val="Привязка концевой сноски"/>
    <w:rPr>
      <w:vertAlign w:val="superscript"/>
    </w:rPr>
  </w:style>
  <w:style w:type="character" w:styleId="Strong">
    <w:name w:val="Strong"/>
    <w:uiPriority w:val="22"/>
    <w:qFormat/>
    <w:rPr>
      <w:b/>
      <w:bCs/>
    </w:rPr>
  </w:style>
  <w:style w:type="character" w:styleId="Cmacro" w:customStyle="1">
    <w:name w:val="c-macro"/>
    <w:basedOn w:val="DefaultParagraphFont"/>
    <w:qFormat/>
    <w:rPr/>
  </w:style>
  <w:style w:type="character" w:styleId="Style17">
    <w:name w:val="Выделение"/>
    <w:uiPriority w:val="20"/>
    <w:qFormat/>
    <w:rPr>
      <w:i/>
      <w:iCs/>
    </w:rPr>
  </w:style>
  <w:style w:type="character" w:styleId="PlaceholderText">
    <w:name w:val="Placeholder Text"/>
    <w:uiPriority w:val="99"/>
    <w:semiHidden/>
    <w:qFormat/>
    <w:rPr>
      <w:color w:val="808080"/>
    </w:rPr>
  </w:style>
  <w:style w:type="character" w:styleId="Docdata" w:customStyle="1">
    <w:name w:val="docdata"/>
    <w:basedOn w:val="DefaultParagraphFont"/>
    <w:qFormat/>
    <w:rPr/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9">
    <w:name w:val="Body Text"/>
    <w:basedOn w:val="Normal"/>
    <w:pPr>
      <w:spacing w:lineRule="auto" w:line="276" w:before="0" w:after="140"/>
    </w:pPr>
    <w:rPr/>
  </w:style>
  <w:style w:type="paragraph" w:styleId="Style20">
    <w:name w:val="List"/>
    <w:basedOn w:val="Style19"/>
    <w:pPr/>
    <w:rPr>
      <w:rFonts w:cs="Lohit Devanagari"/>
    </w:rPr>
  </w:style>
  <w:style w:type="paragraph" w:styleId="Style21">
    <w:name w:val="Caption"/>
    <w:basedOn w:val="Normal"/>
    <w:uiPriority w:val="35"/>
    <w:semiHidden/>
    <w:unhideWhenUsed/>
    <w:qFormat/>
    <w:pPr/>
    <w:rPr>
      <w:b/>
      <w:bCs/>
      <w:color w:val="5B9BD5" w:themeColor="accent1"/>
      <w:sz w:val="18"/>
      <w:szCs w:val="18"/>
    </w:rPr>
  </w:style>
  <w:style w:type="paragraph" w:styleId="Style22">
    <w:name w:val="Указатель"/>
    <w:basedOn w:val="Normal"/>
    <w:qFormat/>
    <w:pPr>
      <w:suppressLineNumbers/>
    </w:pPr>
    <w:rPr>
      <w:rFonts w:cs="Lohit Devanagari"/>
    </w:rPr>
  </w:style>
  <w:style w:type="paragraph" w:styleId="Style23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tyle24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 w:hanging="0"/>
    </w:pPr>
    <w:rPr>
      <w:i/>
    </w:rPr>
  </w:style>
  <w:style w:type="paragraph" w:styleId="Style25">
    <w:name w:val="Колонтитул"/>
    <w:basedOn w:val="Normal"/>
    <w:qFormat/>
    <w:pPr/>
    <w:rPr/>
  </w:style>
  <w:style w:type="paragraph" w:styleId="Style26">
    <w:name w:val="Head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Style27">
    <w:name w:val="Foot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Style28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Style29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12">
    <w:name w:val="TOC 1"/>
    <w:basedOn w:val="Normal"/>
    <w:uiPriority w:val="39"/>
    <w:unhideWhenUsed/>
    <w:pPr>
      <w:spacing w:before="0" w:after="57"/>
    </w:pPr>
    <w:rPr/>
  </w:style>
  <w:style w:type="paragraph" w:styleId="23">
    <w:name w:val="TOC 2"/>
    <w:basedOn w:val="Normal"/>
    <w:uiPriority w:val="39"/>
    <w:unhideWhenUsed/>
    <w:pPr>
      <w:spacing w:before="0" w:after="57"/>
      <w:ind w:left="283" w:hanging="0"/>
    </w:pPr>
    <w:rPr/>
  </w:style>
  <w:style w:type="paragraph" w:styleId="32">
    <w:name w:val="TOC 3"/>
    <w:basedOn w:val="Normal"/>
    <w:uiPriority w:val="39"/>
    <w:unhideWhenUsed/>
    <w:pPr>
      <w:spacing w:before="0" w:after="57"/>
      <w:ind w:left="567" w:hanging="0"/>
    </w:pPr>
    <w:rPr/>
  </w:style>
  <w:style w:type="paragraph" w:styleId="42">
    <w:name w:val="TOC 4"/>
    <w:basedOn w:val="Normal"/>
    <w:uiPriority w:val="39"/>
    <w:unhideWhenUsed/>
    <w:pPr>
      <w:spacing w:before="0" w:after="57"/>
      <w:ind w:left="850" w:hanging="0"/>
    </w:pPr>
    <w:rPr/>
  </w:style>
  <w:style w:type="paragraph" w:styleId="52">
    <w:name w:val="TOC 5"/>
    <w:basedOn w:val="Normal"/>
    <w:uiPriority w:val="39"/>
    <w:unhideWhenUsed/>
    <w:pPr>
      <w:spacing w:before="0" w:after="57"/>
      <w:ind w:left="1134" w:hanging="0"/>
    </w:pPr>
    <w:rPr/>
  </w:style>
  <w:style w:type="paragraph" w:styleId="62">
    <w:name w:val="TOC 6"/>
    <w:basedOn w:val="Normal"/>
    <w:uiPriority w:val="39"/>
    <w:unhideWhenUsed/>
    <w:pPr>
      <w:spacing w:before="0" w:after="57"/>
      <w:ind w:left="1417" w:hanging="0"/>
    </w:pPr>
    <w:rPr/>
  </w:style>
  <w:style w:type="paragraph" w:styleId="72">
    <w:name w:val="TOC 7"/>
    <w:basedOn w:val="Normal"/>
    <w:uiPriority w:val="39"/>
    <w:unhideWhenUsed/>
    <w:pPr>
      <w:spacing w:before="0" w:after="57"/>
      <w:ind w:left="1701" w:hanging="0"/>
    </w:pPr>
    <w:rPr/>
  </w:style>
  <w:style w:type="paragraph" w:styleId="82">
    <w:name w:val="TOC 8"/>
    <w:basedOn w:val="Normal"/>
    <w:uiPriority w:val="39"/>
    <w:unhideWhenUsed/>
    <w:pPr>
      <w:spacing w:before="0" w:after="57"/>
      <w:ind w:left="1984" w:hanging="0"/>
    </w:pPr>
    <w:rPr/>
  </w:style>
  <w:style w:type="paragraph" w:styleId="92">
    <w:name w:val="TOC 9"/>
    <w:basedOn w:val="Normal"/>
    <w:uiPriority w:val="39"/>
    <w:unhideWhenUsed/>
    <w:pPr>
      <w:spacing w:before="0" w:after="57"/>
      <w:ind w:left="2268" w:hanging="0"/>
    </w:pPr>
    <w:rPr/>
  </w:style>
  <w:style w:type="paragraph" w:styleId="Style30">
    <w:name w:val="Index Heading"/>
    <w:basedOn w:val="Style18"/>
    <w:pPr/>
    <w:rPr/>
  </w:style>
  <w:style w:type="paragraph" w:styleId="Style31">
    <w:name w:val="TOC Heading"/>
    <w:uiPriority w:val="39"/>
    <w:unhideWhenUsed/>
    <w:pPr>
      <w:widowControl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0"/>
      <w:szCs w:val="20"/>
      <w:lang w:val="ru-RU" w:eastAsia="ru-RU" w:bidi="ar-SA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="0"/>
    </w:pPr>
    <w:rPr/>
  </w:style>
  <w:style w:type="paragraph" w:styleId="NormalWeb">
    <w:name w:val="Normal (Web)"/>
    <w:basedOn w:val="Normal"/>
    <w:uiPriority w:val="99"/>
    <w:unhideWhenUsed/>
    <w:qFormat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13" w:customStyle="1">
    <w:name w:val="Заголовок1"/>
    <w:basedOn w:val="NormalWeb"/>
    <w:uiPriority w:val="99"/>
    <w:semiHidden/>
    <w:qFormat/>
    <w:pPr>
      <w:jc w:val="center"/>
    </w:pPr>
    <w:rPr>
      <w:rFonts w:ascii="Arial" w:hAnsi="Arial" w:cs="Arial"/>
      <w:b/>
      <w:sz w:val="20"/>
      <w:szCs w:val="20"/>
    </w:rPr>
  </w:style>
  <w:style w:type="paragraph" w:styleId="ListParagraph">
    <w:name w:val="List Paragraph"/>
    <w:basedOn w:val="Normal"/>
    <w:uiPriority w:val="34"/>
    <w:qFormat/>
    <w:pPr>
      <w:spacing w:before="0" w:after="20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before="0" w:after="0"/>
      <w:jc w:val="left"/>
    </w:pPr>
    <w:rPr>
      <w:rFonts w:ascii="Arial" w:hAnsi="Arial" w:eastAsia="Calibri" w:cs="Times New Roman"/>
      <w:color w:val="auto"/>
      <w:kern w:val="0"/>
      <w:sz w:val="20"/>
      <w:szCs w:val="22"/>
      <w:lang w:eastAsia="en-US" w:val="ru-RU" w:bidi="ar-SA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LibreOffice/7.3.7.2$Linux_X86_64 LibreOffice_project/30$Build-2</Application>
  <AppVersion>15.0000</AppVersion>
  <Pages>7</Pages>
  <Words>1329</Words>
  <Characters>8751</Characters>
  <CharactersWithSpaces>9975</CharactersWithSpaces>
  <Paragraphs>128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2024-04-15T12:47:00Z</dcterms:created>
  <dc:creator>СКБ Контур</dc:creator>
  <dc:description/>
  <dc:language>ru-RU</dc:language>
  <cp:lastModifiedBy>Елена Рындина</cp:lastModifiedBy>
  <dcterms:modified xsi:type="dcterms:W3CDTF">2024-05-07T11:38:18Z</dcterms:modified>
  <cp:revision>3</cp:revision>
  <dc:subject/>
  <dc:title/>
</cp:coreProperties>
</file>